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336" w:rsidRPr="00C64336" w:rsidRDefault="00C64336" w:rsidP="00C64336">
      <w:pPr>
        <w:spacing w:line="312" w:lineRule="auto"/>
        <w:jc w:val="center"/>
        <w:rPr>
          <w:b/>
          <w:smallCaps/>
        </w:rPr>
      </w:pPr>
      <w:r w:rsidRPr="00C64336">
        <w:rPr>
          <w:b/>
          <w:smallCaps/>
        </w:rPr>
        <w:t>Akční plán splnění předběžné podmínky 4.1</w:t>
      </w:r>
    </w:p>
    <w:p w:rsidR="00C64336" w:rsidRDefault="00C64336" w:rsidP="00C64336">
      <w:pPr>
        <w:spacing w:line="312" w:lineRule="auto"/>
        <w:jc w:val="both"/>
        <w:rPr>
          <w:b/>
          <w:u w:val="single"/>
        </w:rPr>
      </w:pPr>
    </w:p>
    <w:p w:rsidR="00C64336" w:rsidRPr="00CB5B48" w:rsidRDefault="00C64336" w:rsidP="00C64336">
      <w:pPr>
        <w:spacing w:line="312" w:lineRule="auto"/>
        <w:jc w:val="both"/>
        <w:rPr>
          <w:b/>
        </w:rPr>
      </w:pPr>
      <w:r w:rsidRPr="00CB5B48">
        <w:rPr>
          <w:b/>
        </w:rPr>
        <w:t>Úvod</w:t>
      </w:r>
    </w:p>
    <w:p w:rsidR="00C64336" w:rsidRPr="00CB5B48" w:rsidRDefault="00C64336" w:rsidP="00C64336">
      <w:pPr>
        <w:spacing w:line="312" w:lineRule="auto"/>
        <w:jc w:val="both"/>
      </w:pPr>
      <w:r w:rsidRPr="00CB5B48">
        <w:t>Předběžné podmínky definuje tzv. nařízení o společných ustanoveních</w:t>
      </w:r>
      <w:r w:rsidRPr="00CB5B48">
        <w:rPr>
          <w:vertAlign w:val="superscript"/>
        </w:rPr>
        <w:footnoteReference w:id="1"/>
      </w:r>
      <w:r w:rsidRPr="00CB5B48">
        <w:t xml:space="preserve"> týkajících se evropských strukturálních a investičních fondů (článek 19). Jejich zavedení vychází z požadavku Komise, aby byla přijata opatření k zajištění prokazatelných výsledků intervencí z evropských strukturálních a investičních fondů (ESIF) v programovém období 2014–2020. Účelem předběžných podmínek je zajistit, aby členské státy EU zavedly rámcové podmínky nezbytné pro efektivní využívání podpory z fondů ESIF.</w:t>
      </w:r>
    </w:p>
    <w:p w:rsidR="00C64336" w:rsidRDefault="00C64336" w:rsidP="00C64336">
      <w:pPr>
        <w:spacing w:line="312" w:lineRule="auto"/>
        <w:jc w:val="both"/>
      </w:pPr>
      <w:r w:rsidRPr="00CB5B48">
        <w:t>Příloha XI nařízení o společných ustanoveních obsahuje přehled tematických předběžných podmínek pro všechny tematické cíle stanovené v článku 9 tohoto nařízení. Podrobněji je návrh předběžných podmínek rozpracován v dokumentu Komise nazvaném „Návrh pokynů k předběžným podmínkám pro evropské strukturální a investiční fondy (ESI)“ (Evropská komise, únor 2014). Tento dokument se mimo jiné podrobněji věnuje otázce použitelnosti nebo splnění kritérií předběžných podmínek. Předběžné podmínky by obecně měly být splněny do konce roku 2013 nebo při schválení operačního programu. Není-li určitá předběžná podmínka splněna, měla by být přijata opatření k jejímu splnění. Nejzazší lhůtou pro splnění předběžných podmínek je 31. prosinec 2016.</w:t>
      </w:r>
    </w:p>
    <w:p w:rsidR="00C64336" w:rsidRPr="00CB5B48" w:rsidRDefault="00C64336" w:rsidP="00C64336">
      <w:pPr>
        <w:spacing w:line="312" w:lineRule="auto"/>
        <w:jc w:val="both"/>
      </w:pPr>
    </w:p>
    <w:p w:rsidR="00C64336" w:rsidRPr="00CB5B48" w:rsidRDefault="00C64336" w:rsidP="00C64336">
      <w:pPr>
        <w:spacing w:line="312" w:lineRule="auto"/>
        <w:jc w:val="both"/>
        <w:rPr>
          <w:b/>
        </w:rPr>
      </w:pPr>
      <w:r w:rsidRPr="00CB5B48">
        <w:rPr>
          <w:b/>
        </w:rPr>
        <w:t xml:space="preserve">Předběžná podmínka 4.1 </w:t>
      </w:r>
    </w:p>
    <w:p w:rsidR="00C64336" w:rsidRDefault="00C64336" w:rsidP="00C64336">
      <w:pPr>
        <w:spacing w:line="312" w:lineRule="auto"/>
        <w:jc w:val="both"/>
      </w:pPr>
      <w:r w:rsidRPr="00CB5B48">
        <w:t>4.1 Byla provedena opatření na podporu nákladově efektivního zvyšování energetické účinnosti u koncového uživatele a nákladově efektivních investic do energetické účinnosti při výstavbě a renovaci budov.</w:t>
      </w:r>
    </w:p>
    <w:p w:rsidR="00C64336" w:rsidRPr="00CB5B48" w:rsidRDefault="00C64336" w:rsidP="00C64336">
      <w:pPr>
        <w:spacing w:line="312" w:lineRule="auto"/>
        <w:jc w:val="both"/>
      </w:pPr>
    </w:p>
    <w:p w:rsidR="00C64336" w:rsidRDefault="00C64336" w:rsidP="00C64336">
      <w:pPr>
        <w:spacing w:line="312" w:lineRule="auto"/>
        <w:jc w:val="both"/>
      </w:pPr>
      <w:r w:rsidRPr="00CB5B48">
        <w:t>Těmito opatřeními jsou:</w:t>
      </w:r>
    </w:p>
    <w:p w:rsidR="00C64336" w:rsidRPr="00CB5B48" w:rsidRDefault="00C64336" w:rsidP="00C64336">
      <w:pPr>
        <w:spacing w:line="312" w:lineRule="auto"/>
        <w:jc w:val="both"/>
      </w:pPr>
    </w:p>
    <w:p w:rsidR="00C64336" w:rsidRPr="00CB5B48" w:rsidRDefault="00C64336" w:rsidP="00C64336">
      <w:pPr>
        <w:spacing w:line="312" w:lineRule="auto"/>
        <w:jc w:val="both"/>
        <w:rPr>
          <w:i/>
        </w:rPr>
      </w:pPr>
      <w:r w:rsidRPr="00CB5B48">
        <w:rPr>
          <w:i/>
        </w:rPr>
        <w:t>I. opatření k zajištění minimálních požadavků týkajících se energetické náročnosti budov v souladu s články 3, 4 a 5 směrnice Evropského parlamentu a Rady 2010/31/EU.</w:t>
      </w:r>
    </w:p>
    <w:p w:rsidR="00C64336" w:rsidRPr="00CB5B48" w:rsidRDefault="00C64336" w:rsidP="00C64336">
      <w:pPr>
        <w:spacing w:line="312" w:lineRule="auto"/>
        <w:jc w:val="both"/>
      </w:pPr>
      <w:r w:rsidRPr="00CB5B48">
        <w:t>Útvary Komise chtějí upozornit na to, že čl. 4 odst. 2 směrnice o energetické náročnosti budov (přepracování) stanovuje restriktivní seznam kategorií budov, u kterých se mohou členské státy rozhodnout nestanovit nebo neuplatňovat určité požadavky.</w:t>
      </w:r>
    </w:p>
    <w:p w:rsidR="00C64336" w:rsidRPr="00CB5B48" w:rsidRDefault="00C64336" w:rsidP="00C64336">
      <w:pPr>
        <w:spacing w:line="312" w:lineRule="auto"/>
        <w:jc w:val="both"/>
      </w:pPr>
      <w:r w:rsidRPr="00CB5B48">
        <w:t>Zákon č. 318/2012 Sb., § 7 odst. 5 písm. d) vyjímá z těchto požadavků stavby pro rodinnou rekreaci, zatímco směrnice stanovuje, že je možné vyjmout obytné budovy, které jsou užívány nebo určeny k užívání buď kratšímu než čtyři měsíce v roce, nebo případně k využívání na omezenou část roku, a jejichž odhadovaná spotřeba energie je nižší než 25 % ze spotřeby, k níž by došlo při celoročním užívání.</w:t>
      </w:r>
    </w:p>
    <w:p w:rsidR="00C64336" w:rsidRDefault="00C64336" w:rsidP="00C64336">
      <w:pPr>
        <w:spacing w:line="312" w:lineRule="auto"/>
        <w:jc w:val="both"/>
      </w:pPr>
      <w:r w:rsidRPr="00CB5B48">
        <w:t>Komise se domnívá, že vynětím veškerých „staveb pro rodinnou rekreaci“ bez stanovení konkrétní definice těchto staveb (jež by měla být v souladu s čl. 4 odst. 2 směrnice o energetické náročnosti budov) zákon č. 318/2012 Sb. umožňuje vyloučení budov nad rámec restriktivního seznamu uvedeného ve směrnici 2010/31/EU (přepracování). To znamená, že je ve vnitrostátním právu provedena chybně.</w:t>
      </w:r>
    </w:p>
    <w:p w:rsidR="00C64336" w:rsidRPr="00CB5B48" w:rsidRDefault="00C64336" w:rsidP="00C64336">
      <w:pPr>
        <w:spacing w:line="312" w:lineRule="auto"/>
        <w:jc w:val="both"/>
      </w:pPr>
    </w:p>
    <w:p w:rsidR="00C64336" w:rsidRDefault="00C64336" w:rsidP="00C64336">
      <w:pPr>
        <w:spacing w:line="312" w:lineRule="auto"/>
        <w:jc w:val="both"/>
      </w:pPr>
      <w:r w:rsidRPr="00CB5B48">
        <w:rPr>
          <w:u w:val="single"/>
        </w:rPr>
        <w:t>Kritéria splněna:</w:t>
      </w:r>
      <w:r w:rsidRPr="00CB5B48">
        <w:t xml:space="preserve"> ne</w:t>
      </w:r>
    </w:p>
    <w:p w:rsidR="00C64336" w:rsidRPr="00CB5B48" w:rsidRDefault="00C64336" w:rsidP="00C64336">
      <w:pPr>
        <w:spacing w:line="312" w:lineRule="auto"/>
        <w:jc w:val="both"/>
      </w:pPr>
    </w:p>
    <w:p w:rsidR="00C64336" w:rsidRPr="00CB5B48" w:rsidRDefault="00C64336" w:rsidP="00C64336">
      <w:pPr>
        <w:spacing w:line="312" w:lineRule="auto"/>
        <w:jc w:val="both"/>
        <w:rPr>
          <w:u w:val="single"/>
        </w:rPr>
      </w:pPr>
      <w:r w:rsidRPr="00CB5B48">
        <w:rPr>
          <w:u w:val="single"/>
        </w:rPr>
        <w:t>Důvody nesplnění a komentáře:</w:t>
      </w:r>
    </w:p>
    <w:p w:rsidR="00C64336" w:rsidRPr="00CB5B48" w:rsidRDefault="00C64336" w:rsidP="00C64336">
      <w:pPr>
        <w:spacing w:line="312" w:lineRule="auto"/>
        <w:jc w:val="both"/>
      </w:pPr>
      <w:r w:rsidRPr="00CB5B48">
        <w:t>Česká republika zapracovala minimální požadavky na energetickou náročnost budov podle článku 3, článku 4 a článku 5 směrnice 2010/31/EU do zákona č. 406/2000 Sb. o hospodaření energií (paragraf 7 „Snižování energetické náročnosti budov“). Konkrétní technické požadavky stanovuje vyhláška č. 78/2013 Sb. o energetické náročnosti budov.</w:t>
      </w:r>
    </w:p>
    <w:p w:rsidR="00C64336" w:rsidRPr="00CB5B48" w:rsidRDefault="00C64336" w:rsidP="00C64336">
      <w:pPr>
        <w:spacing w:line="312" w:lineRule="auto"/>
        <w:jc w:val="both"/>
      </w:pPr>
      <w:r w:rsidRPr="00CB5B48">
        <w:t>Česká republika se rozhodla vyhovět Evropské komisi a přijmout následující změny. Ustanovení § 7 odst. 5 zákona č. 406/2000 Sb. bude změněno. Co se týče vnitrostátního legislativního procesu, zmíněná změna zákona č. 406/2000 Sb. o hospodaření e</w:t>
      </w:r>
      <w:r w:rsidR="00336CC6">
        <w:t>nergií má nabýt účinnosti dnem 1. července 2015</w:t>
      </w:r>
      <w:r w:rsidRPr="00CB5B48">
        <w:t>.</w:t>
      </w:r>
    </w:p>
    <w:p w:rsidR="00C64336" w:rsidRPr="00CB5B48" w:rsidRDefault="00C64336" w:rsidP="00C64336">
      <w:pPr>
        <w:spacing w:line="312" w:lineRule="auto"/>
        <w:jc w:val="both"/>
      </w:pPr>
    </w:p>
    <w:p w:rsidR="00C64336" w:rsidRDefault="00C64336" w:rsidP="00C64336">
      <w:pPr>
        <w:numPr>
          <w:ilvl w:val="0"/>
          <w:numId w:val="1"/>
        </w:numPr>
        <w:spacing w:line="312" w:lineRule="auto"/>
        <w:jc w:val="both"/>
      </w:pPr>
      <w:r w:rsidRPr="00CB5B48">
        <w:t>Členský stát nebo jeho regiony přijaly metodu výpočtu energetické náročnosti budov (nejzazší lhůta stanovená směrnicí byla 9. ledna 2013).</w:t>
      </w:r>
    </w:p>
    <w:p w:rsidR="00C64336" w:rsidRPr="00CB5B48" w:rsidRDefault="00C64336" w:rsidP="00C64336">
      <w:pPr>
        <w:spacing w:line="312" w:lineRule="auto"/>
        <w:ind w:left="360"/>
        <w:jc w:val="both"/>
      </w:pPr>
    </w:p>
    <w:p w:rsidR="00C64336" w:rsidRDefault="00C64336" w:rsidP="00C64336">
      <w:pPr>
        <w:spacing w:line="312" w:lineRule="auto"/>
        <w:jc w:val="both"/>
      </w:pPr>
      <w:r w:rsidRPr="00CB5B48">
        <w:rPr>
          <w:u w:val="single"/>
        </w:rPr>
        <w:t>Kritéria splněna:</w:t>
      </w:r>
      <w:r w:rsidRPr="00CB5B48">
        <w:t xml:space="preserve"> ano</w:t>
      </w:r>
    </w:p>
    <w:p w:rsidR="00C64336" w:rsidRPr="00CB5B48" w:rsidRDefault="00C64336" w:rsidP="00C64336">
      <w:pPr>
        <w:spacing w:line="312" w:lineRule="auto"/>
        <w:jc w:val="both"/>
      </w:pPr>
    </w:p>
    <w:p w:rsidR="00C64336" w:rsidRPr="00CB5B48" w:rsidRDefault="00C64336" w:rsidP="00C64336">
      <w:pPr>
        <w:spacing w:line="312" w:lineRule="auto"/>
        <w:jc w:val="both"/>
        <w:rPr>
          <w:u w:val="single"/>
        </w:rPr>
      </w:pPr>
      <w:r w:rsidRPr="00CB5B48">
        <w:rPr>
          <w:u w:val="single"/>
        </w:rPr>
        <w:t>Důvody nesplnění a komentáře:</w:t>
      </w:r>
    </w:p>
    <w:p w:rsidR="00C64336" w:rsidRDefault="00C64336" w:rsidP="00C64336">
      <w:pPr>
        <w:spacing w:line="312" w:lineRule="auto"/>
        <w:jc w:val="both"/>
      </w:pPr>
      <w:r w:rsidRPr="00CB5B48">
        <w:t>Česká republika přijala metodu výpočtu energetické náročnosti budov (nejzazší lhůta stanovená směrnicí byla 9. ledna 2013). Česká republika zapracovala minimální požadavky na energetickou náročnost budov podle článku 3, článku 4 a článku 5 směrnice 2010/31/EU do zákona č. 406/2000 Sb. o hospodaření energií (paragraf 7 „Snižování energetické náročnosti budov“). Konkrétní technické požadavky stanovuje vyhláška č. 78/2013 Sb. o energetické náročnosti budov.</w:t>
      </w:r>
    </w:p>
    <w:p w:rsidR="00C64336" w:rsidRPr="00CB5B48" w:rsidRDefault="00C64336" w:rsidP="00C64336">
      <w:pPr>
        <w:spacing w:line="312" w:lineRule="auto"/>
        <w:jc w:val="both"/>
      </w:pPr>
    </w:p>
    <w:p w:rsidR="00C64336" w:rsidRPr="00CB5B48" w:rsidRDefault="00C64336" w:rsidP="00C64336">
      <w:pPr>
        <w:numPr>
          <w:ilvl w:val="0"/>
          <w:numId w:val="1"/>
        </w:numPr>
        <w:spacing w:line="312" w:lineRule="auto"/>
        <w:jc w:val="both"/>
      </w:pPr>
      <w:r w:rsidRPr="00CB5B48">
        <w:t>Metoda je v souladu s přílohou I, zejména:</w:t>
      </w:r>
    </w:p>
    <w:p w:rsidR="00C64336" w:rsidRDefault="00C64336" w:rsidP="00C64336">
      <w:pPr>
        <w:numPr>
          <w:ilvl w:val="0"/>
          <w:numId w:val="2"/>
        </w:numPr>
        <w:spacing w:line="312" w:lineRule="auto"/>
        <w:jc w:val="both"/>
      </w:pPr>
      <w:r w:rsidRPr="00CB5B48">
        <w:t>Energetická náročnost budovy se určí na základě vypočtené nebo naměřené spotřeby energie potřebné ke splnění požadavku na spotřebu energie v souvislosti s typickým užíváním budovy, což zahrnuje mimo jiné energii na vytápění, na chlazení, na větrání, na přípravu teplé vody a na osvětlení.</w:t>
      </w:r>
    </w:p>
    <w:p w:rsidR="00C64336" w:rsidRPr="00CB5B48" w:rsidRDefault="00C64336" w:rsidP="00C64336">
      <w:pPr>
        <w:spacing w:line="312" w:lineRule="auto"/>
        <w:ind w:left="720"/>
        <w:jc w:val="both"/>
      </w:pPr>
    </w:p>
    <w:p w:rsidR="00C64336" w:rsidRDefault="00C64336" w:rsidP="00C64336">
      <w:pPr>
        <w:spacing w:line="312" w:lineRule="auto"/>
        <w:jc w:val="both"/>
      </w:pPr>
      <w:r w:rsidRPr="00CB5B48">
        <w:rPr>
          <w:u w:val="single"/>
        </w:rPr>
        <w:t>Kritéria splněna:</w:t>
      </w:r>
      <w:r w:rsidRPr="00CB5B48">
        <w:t xml:space="preserve"> ano</w:t>
      </w:r>
    </w:p>
    <w:p w:rsidR="00C64336" w:rsidRPr="00CB5B48" w:rsidRDefault="00C64336" w:rsidP="00C64336">
      <w:pPr>
        <w:spacing w:line="312" w:lineRule="auto"/>
        <w:jc w:val="both"/>
      </w:pPr>
    </w:p>
    <w:p w:rsidR="00C64336" w:rsidRPr="00CB5B48" w:rsidRDefault="00C64336" w:rsidP="00C64336">
      <w:pPr>
        <w:spacing w:line="312" w:lineRule="auto"/>
        <w:jc w:val="both"/>
        <w:rPr>
          <w:u w:val="single"/>
        </w:rPr>
      </w:pPr>
      <w:r w:rsidRPr="00CB5B48">
        <w:rPr>
          <w:u w:val="single"/>
        </w:rPr>
        <w:t>Důvody nesplnění a komentáře:</w:t>
      </w:r>
    </w:p>
    <w:p w:rsidR="00C64336" w:rsidRPr="00CB5B48" w:rsidRDefault="00C64336" w:rsidP="00C64336">
      <w:pPr>
        <w:spacing w:line="312" w:lineRule="auto"/>
        <w:jc w:val="both"/>
      </w:pPr>
      <w:r w:rsidRPr="00CB5B48">
        <w:t>Česká republika přijala metodu výpočtu energetické náročnosti budov (nejzazší lhůta stanovená směrnicí byla 9. ledna 2013). Česká republika zapracovala minimální požadavky na energetickou náročnost budov podle článku 3, článku 4 a článku 5 směrnice 2010/31/EU do zákona č. 406/2000 Sb. o hospodaření energií (paragraf 7 „Snižování energetické náročnosti budov“). Konkrétní technické požadavky stanovuje vyhláška č. 78/2013 Sb. o energetické náročnosti budov. Paragraf 3 této vyhlášky stanovuje ukazatele energetické náročnosti budovy, paragraf 4 výpočet dodané energie a paragraf 5 výpočet primární energie. Příloha č. 1 této vyhlášky stanovuje konkrétní technické údaje.</w:t>
      </w:r>
    </w:p>
    <w:p w:rsidR="00C64336" w:rsidRPr="00CB5B48" w:rsidRDefault="00C64336" w:rsidP="00C64336">
      <w:pPr>
        <w:spacing w:line="312" w:lineRule="auto"/>
        <w:jc w:val="both"/>
      </w:pPr>
    </w:p>
    <w:p w:rsidR="00C64336" w:rsidRDefault="00C64336" w:rsidP="00C64336">
      <w:pPr>
        <w:numPr>
          <w:ilvl w:val="0"/>
          <w:numId w:val="2"/>
        </w:numPr>
        <w:spacing w:line="312" w:lineRule="auto"/>
        <w:jc w:val="both"/>
      </w:pPr>
      <w:r w:rsidRPr="00CB5B48">
        <w:t>Metoda výpočtu zohledňuje spotřebu energie na vytápění, chlazení, větrání a přípravu teplé vody pro domácnost a u nebytových budov na osvětlení.</w:t>
      </w:r>
    </w:p>
    <w:p w:rsidR="00C64336" w:rsidRPr="00CB5B48" w:rsidRDefault="00C64336" w:rsidP="00C64336">
      <w:pPr>
        <w:spacing w:line="312" w:lineRule="auto"/>
        <w:ind w:left="720"/>
        <w:jc w:val="both"/>
      </w:pPr>
    </w:p>
    <w:p w:rsidR="00C64336" w:rsidRDefault="00C64336" w:rsidP="00C64336">
      <w:pPr>
        <w:spacing w:line="312" w:lineRule="auto"/>
        <w:jc w:val="both"/>
      </w:pPr>
      <w:r w:rsidRPr="00CB5B48">
        <w:rPr>
          <w:u w:val="single"/>
        </w:rPr>
        <w:t>Kritéria splněna:</w:t>
      </w:r>
      <w:r w:rsidRPr="00CB5B48">
        <w:t xml:space="preserve"> ano</w:t>
      </w:r>
    </w:p>
    <w:p w:rsidR="00C64336" w:rsidRPr="00CB5B48" w:rsidRDefault="00C64336" w:rsidP="00C64336">
      <w:pPr>
        <w:spacing w:line="312" w:lineRule="auto"/>
        <w:jc w:val="both"/>
      </w:pPr>
    </w:p>
    <w:p w:rsidR="00C64336" w:rsidRPr="00CB5B48" w:rsidRDefault="00C64336" w:rsidP="00C64336">
      <w:pPr>
        <w:spacing w:line="312" w:lineRule="auto"/>
        <w:jc w:val="both"/>
        <w:rPr>
          <w:u w:val="single"/>
        </w:rPr>
      </w:pPr>
      <w:r w:rsidRPr="00CB5B48">
        <w:rPr>
          <w:u w:val="single"/>
        </w:rPr>
        <w:t>Důvody nesplnění a komentáře:</w:t>
      </w:r>
    </w:p>
    <w:p w:rsidR="00C64336" w:rsidRPr="00CB5B48" w:rsidRDefault="00C64336" w:rsidP="00C64336">
      <w:pPr>
        <w:spacing w:line="312" w:lineRule="auto"/>
        <w:jc w:val="both"/>
      </w:pPr>
      <w:r w:rsidRPr="00CB5B48">
        <w:t>Česká republika přijala metodu výpočtu energetické náročnosti budov (nejzazší lhůta stanovená směrnicí byla 9. ledna 2013). Česká republika zapracovala minimální požadavky na energetickou náročnost budov podle článku 3, článku 4 a článku 5 směrnice 2010/31/EU do zákona č. 406/2000 Sb. o hospodaření energií (paragraf 7 „Snižování energetické náročnosti budov“). Konkrétní technické požadavky stanovuje vyhláška č. 78/2013 Sb. o energetické náročnosti budov. Paragraf 3 této vyhlášky stanovuje ukazatele energetické náročnosti budovy, paragraf 4 výpočet dodané energie a paragraf 5 výpočet primární energie. Příloha č. 1 této vyhlášky stanovuje konkrétní technické údaje.</w:t>
      </w:r>
    </w:p>
    <w:p w:rsidR="00C64336" w:rsidRPr="00CB5B48" w:rsidRDefault="00C64336" w:rsidP="00C64336">
      <w:pPr>
        <w:spacing w:line="312" w:lineRule="auto"/>
        <w:jc w:val="both"/>
      </w:pPr>
    </w:p>
    <w:p w:rsidR="00C64336" w:rsidRDefault="00C64336" w:rsidP="00C64336">
      <w:pPr>
        <w:numPr>
          <w:ilvl w:val="0"/>
          <w:numId w:val="2"/>
        </w:numPr>
        <w:spacing w:line="312" w:lineRule="auto"/>
        <w:jc w:val="both"/>
      </w:pPr>
      <w:r w:rsidRPr="00CB5B48">
        <w:t>Energetická náročnost budovy je vyjádřena transparentně a zahrnuje ukazatel energetické náročnosti a číselný ukazatel spotřeby primární energie.</w:t>
      </w:r>
    </w:p>
    <w:p w:rsidR="00C64336" w:rsidRPr="00CB5B48" w:rsidRDefault="00C64336" w:rsidP="00C64336">
      <w:pPr>
        <w:spacing w:line="312" w:lineRule="auto"/>
        <w:ind w:left="720"/>
        <w:jc w:val="both"/>
      </w:pPr>
    </w:p>
    <w:p w:rsidR="00C64336" w:rsidRDefault="00C64336" w:rsidP="00C64336">
      <w:pPr>
        <w:spacing w:line="312" w:lineRule="auto"/>
        <w:jc w:val="both"/>
      </w:pPr>
      <w:r w:rsidRPr="00CB5B48">
        <w:rPr>
          <w:u w:val="single"/>
        </w:rPr>
        <w:t>Kritéria splněna:</w:t>
      </w:r>
      <w:r w:rsidRPr="00CB5B48">
        <w:t xml:space="preserve"> ano</w:t>
      </w:r>
    </w:p>
    <w:p w:rsidR="00C64336" w:rsidRPr="00CB5B48" w:rsidRDefault="00C64336" w:rsidP="00C64336">
      <w:pPr>
        <w:spacing w:line="312" w:lineRule="auto"/>
        <w:jc w:val="both"/>
      </w:pPr>
    </w:p>
    <w:p w:rsidR="00C64336" w:rsidRPr="00CB5B48" w:rsidRDefault="00C64336" w:rsidP="00C64336">
      <w:pPr>
        <w:spacing w:line="312" w:lineRule="auto"/>
        <w:jc w:val="both"/>
        <w:rPr>
          <w:u w:val="single"/>
        </w:rPr>
      </w:pPr>
      <w:r w:rsidRPr="00CB5B48">
        <w:rPr>
          <w:u w:val="single"/>
        </w:rPr>
        <w:t>Důvody nesplnění a komentáře:</w:t>
      </w:r>
    </w:p>
    <w:p w:rsidR="00C64336" w:rsidRPr="00CB5B48" w:rsidRDefault="00C64336" w:rsidP="00C64336">
      <w:pPr>
        <w:spacing w:line="312" w:lineRule="auto"/>
        <w:jc w:val="both"/>
      </w:pPr>
      <w:r w:rsidRPr="00CB5B48">
        <w:t>Česká republika přijala metodu výpočtu energetické náročnosti budov (nejzazší lhůta stanovená směrnicí byla 9. ledna 2013). Česká republika zapracovala minimální požadavky na energetickou náročnost budov podle článku 3, článku 4 a článku 5 směrnice 2010/31/EU do zákona č. 406/2000 Sb. o hospodaření energií (paragraf 7 „Snižování energetické náročnosti budov“). Konkrétní technické požadavky stanovuje vyhláška č. 78/2013 Sb. o energetické náročnosti budov. Paragraf 3 této vyhlášky stanovuje ukazatele energetické náročnosti budovy, paragraf 4 výpočet dodané energie a paragraf 5 výpočet primární energie. Příloha č. 1 této vyhlášky stanovuje konkrétní technické údaje.</w:t>
      </w:r>
    </w:p>
    <w:p w:rsidR="00C64336" w:rsidRPr="00CB5B48" w:rsidRDefault="00C64336" w:rsidP="00C64336">
      <w:pPr>
        <w:spacing w:line="312" w:lineRule="auto"/>
        <w:jc w:val="both"/>
      </w:pPr>
    </w:p>
    <w:p w:rsidR="00C64336" w:rsidRPr="00CB5B48" w:rsidRDefault="00C64336" w:rsidP="00C64336">
      <w:pPr>
        <w:numPr>
          <w:ilvl w:val="0"/>
          <w:numId w:val="3"/>
        </w:numPr>
        <w:spacing w:line="312" w:lineRule="auto"/>
        <w:jc w:val="both"/>
      </w:pPr>
      <w:r w:rsidRPr="00CB5B48">
        <w:t>Metoda zohledňuje níže uvedené faktory, jež mají vliv na energetickou náročnost:</w:t>
      </w:r>
    </w:p>
    <w:p w:rsidR="00C64336" w:rsidRDefault="00C64336" w:rsidP="00C64336">
      <w:pPr>
        <w:numPr>
          <w:ilvl w:val="0"/>
          <w:numId w:val="4"/>
        </w:numPr>
        <w:spacing w:line="312" w:lineRule="auto"/>
        <w:jc w:val="both"/>
      </w:pPr>
      <w:r w:rsidRPr="00CB5B48">
        <w:t>Charakteristiky budovy a energetických zařízení: vytápění, dodávky teplé vody, klimatizace, větrání, osvětlení, solární systém a ochrana, vnitřní klimatické podmínky atd. (viz bod 3 přílohy č. 1).</w:t>
      </w:r>
    </w:p>
    <w:p w:rsidR="00C64336" w:rsidRPr="00CB5B48" w:rsidRDefault="00C64336" w:rsidP="00C64336">
      <w:pPr>
        <w:spacing w:line="312" w:lineRule="auto"/>
        <w:ind w:left="720"/>
        <w:jc w:val="both"/>
      </w:pPr>
    </w:p>
    <w:p w:rsidR="00C64336" w:rsidRDefault="00C64336" w:rsidP="00C64336">
      <w:pPr>
        <w:spacing w:line="312" w:lineRule="auto"/>
        <w:jc w:val="both"/>
      </w:pPr>
      <w:r w:rsidRPr="00CB5B48">
        <w:rPr>
          <w:u w:val="single"/>
        </w:rPr>
        <w:t>Kritéria splněna:</w:t>
      </w:r>
      <w:r w:rsidRPr="00CB5B48">
        <w:t xml:space="preserve"> ano</w:t>
      </w:r>
    </w:p>
    <w:p w:rsidR="00C64336" w:rsidRPr="00CB5B48" w:rsidRDefault="00C64336" w:rsidP="00C64336">
      <w:pPr>
        <w:spacing w:line="312" w:lineRule="auto"/>
        <w:jc w:val="both"/>
      </w:pPr>
    </w:p>
    <w:p w:rsidR="00C64336" w:rsidRPr="00CB5B48" w:rsidRDefault="00C64336" w:rsidP="00C64336">
      <w:pPr>
        <w:spacing w:line="312" w:lineRule="auto"/>
        <w:jc w:val="both"/>
        <w:rPr>
          <w:u w:val="single"/>
        </w:rPr>
      </w:pPr>
      <w:r w:rsidRPr="00CB5B48">
        <w:rPr>
          <w:u w:val="single"/>
        </w:rPr>
        <w:t>Důvody nesplnění a komentáře:</w:t>
      </w:r>
    </w:p>
    <w:p w:rsidR="00C64336" w:rsidRPr="00CB5B48" w:rsidRDefault="00C64336" w:rsidP="00C64336">
      <w:pPr>
        <w:spacing w:line="312" w:lineRule="auto"/>
        <w:jc w:val="both"/>
      </w:pPr>
      <w:r w:rsidRPr="00CB5B48">
        <w:t>Metoda je v souladu s přílohou I. Česká republika zapracovala minimální požadavky na energetickou náročnost budov podle článku 3, článku 4 a článku 5 směrnice 2010/31/EU do zákona č. 406/2000 Sb. o hospodaření energií (paragraf 7 „Snižování energetické náročnosti budov“). Konkrétní technické požadavky stanovuje vyhláška č. 78/2013 Sb. o energetické náročnosti budov. Paragraf 3 této vyhlášky stanovuje ukazatele energetické náročnosti budovy, paragraf 4 výpočet dodané energie a paragraf 5 výpočet primární energie. Příloha č. 1 této vyhlášky stanovuje konkrétní technické údaje.</w:t>
      </w:r>
    </w:p>
    <w:p w:rsidR="00C64336" w:rsidRPr="00CB5B48" w:rsidRDefault="00C64336" w:rsidP="00C64336">
      <w:pPr>
        <w:spacing w:line="312" w:lineRule="auto"/>
        <w:jc w:val="both"/>
      </w:pPr>
    </w:p>
    <w:p w:rsidR="00C64336" w:rsidRDefault="00C64336" w:rsidP="00C64336">
      <w:pPr>
        <w:numPr>
          <w:ilvl w:val="0"/>
          <w:numId w:val="4"/>
        </w:numPr>
        <w:spacing w:line="312" w:lineRule="auto"/>
        <w:jc w:val="both"/>
      </w:pPr>
      <w:r w:rsidRPr="00CB5B48">
        <w:t>Faktory, jež mohou pozitivně ovlivnit energetickou náročnost: místní podmínky slunečního osvitu, aktivní solární systémy a jiné otopné soustavy a elektrické systémy využívající energii z obnovitelných zdrojů; elektřina vyráběná formou kombinované výroby tepla a elektřiny; denní osvětlení (bod 4 přílohy č. 1).</w:t>
      </w:r>
    </w:p>
    <w:p w:rsidR="00C64336" w:rsidRPr="00CB5B48" w:rsidRDefault="00C64336" w:rsidP="00C64336">
      <w:pPr>
        <w:spacing w:line="312" w:lineRule="auto"/>
        <w:ind w:left="720"/>
        <w:jc w:val="both"/>
      </w:pPr>
    </w:p>
    <w:p w:rsidR="00C64336" w:rsidRDefault="00C64336" w:rsidP="00C64336">
      <w:pPr>
        <w:spacing w:line="312" w:lineRule="auto"/>
        <w:jc w:val="both"/>
      </w:pPr>
      <w:r w:rsidRPr="00CB5B48">
        <w:rPr>
          <w:u w:val="single"/>
        </w:rPr>
        <w:t>Kritéria splněna:</w:t>
      </w:r>
      <w:r w:rsidRPr="00CB5B48">
        <w:t xml:space="preserve"> ano</w:t>
      </w:r>
    </w:p>
    <w:p w:rsidR="00C64336" w:rsidRPr="00CB5B48" w:rsidRDefault="00C64336" w:rsidP="00C64336">
      <w:pPr>
        <w:spacing w:line="312" w:lineRule="auto"/>
        <w:jc w:val="both"/>
      </w:pPr>
    </w:p>
    <w:p w:rsidR="00C64336" w:rsidRPr="00CB5B48" w:rsidRDefault="00C64336" w:rsidP="00C64336">
      <w:pPr>
        <w:spacing w:line="312" w:lineRule="auto"/>
        <w:jc w:val="both"/>
        <w:rPr>
          <w:u w:val="single"/>
        </w:rPr>
      </w:pPr>
      <w:r w:rsidRPr="00CB5B48">
        <w:rPr>
          <w:u w:val="single"/>
        </w:rPr>
        <w:t>Důvody nesplnění a komentáře:</w:t>
      </w:r>
    </w:p>
    <w:p w:rsidR="00C64336" w:rsidRPr="00CB5B48" w:rsidRDefault="00C64336" w:rsidP="00C64336">
      <w:pPr>
        <w:spacing w:line="312" w:lineRule="auto"/>
        <w:jc w:val="both"/>
      </w:pPr>
      <w:r w:rsidRPr="00CB5B48">
        <w:t>Metoda je v souladu s přílohou I. Česká republika zapracovala minimální požadavky na energetickou náročnost budov podle článku 3, článku 4 a článku 5 směrnice 2010/31/EU do zákona č. 406/2000 Sb. o hospodaření energií (paragraf 7 „Snižování energetické náročnosti budov“). Konkrétní technické požadavky stanovuje vyhláška č. 78/2013 Sb. o energetické náročnosti budov. Paragraf 3 této vyhlášky stanovuje ukazatele energetické náročnosti budovy, paragraf 4 výpočet dodané energie a paragraf 5 výpočet primární energie. Příloha č. 1 této vyhlášky stanovuje konkrétní technické údaje.</w:t>
      </w:r>
    </w:p>
    <w:p w:rsidR="00C64336" w:rsidRPr="00CB5B48" w:rsidRDefault="00C64336" w:rsidP="00C64336">
      <w:pPr>
        <w:spacing w:line="312" w:lineRule="auto"/>
        <w:jc w:val="both"/>
      </w:pPr>
    </w:p>
    <w:p w:rsidR="00C64336" w:rsidRPr="00CB5B48" w:rsidRDefault="00C64336" w:rsidP="00C64336">
      <w:pPr>
        <w:numPr>
          <w:ilvl w:val="0"/>
          <w:numId w:val="4"/>
        </w:numPr>
        <w:spacing w:line="312" w:lineRule="auto"/>
        <w:jc w:val="both"/>
      </w:pPr>
      <w:r w:rsidRPr="00CB5B48">
        <w:t>Byla přijata opatření k zajištění toho, aby byly stanoveny minimální požadavky na energetickou náročnost nových budov (nebo ucelených částí budov), které jsou předmětem větší renovace, a prvků budov, jež jsou součástí obvodového pláště budovy a jež mají významný dopad na energetickou náročnost budovy, za účelem dosažení nákladově optimálních úrovní (lhůta pro přijetí těchto opatření v případě budov užívaných orgány veřejné moci byla směrnicí stanovena do 9. ledna 2013 a u ostatních budov do 9. července 2013):</w:t>
      </w:r>
    </w:p>
    <w:p w:rsidR="00C64336" w:rsidRDefault="00C64336" w:rsidP="00C64336">
      <w:pPr>
        <w:numPr>
          <w:ilvl w:val="0"/>
          <w:numId w:val="3"/>
        </w:numPr>
        <w:spacing w:line="312" w:lineRule="auto"/>
        <w:jc w:val="both"/>
      </w:pPr>
      <w:r w:rsidRPr="00CB5B48">
        <w:t>Nákladově optimální úrovně požadavků na energetickou náročnost byly vypočteny podle srovnávacího metodického rámce, jejž Komise stanovila pro různé kategorie budov (příloha I nařízení Komise v přenesené pravomoci č. 244/2012). Zde byla lhůta stanovena do 21. března 2013.</w:t>
      </w:r>
    </w:p>
    <w:p w:rsidR="00C64336" w:rsidRPr="00CB5B48" w:rsidRDefault="00C64336" w:rsidP="00C64336">
      <w:pPr>
        <w:spacing w:line="312" w:lineRule="auto"/>
        <w:ind w:left="720"/>
        <w:jc w:val="both"/>
      </w:pPr>
    </w:p>
    <w:p w:rsidR="00C64336" w:rsidRDefault="00C64336" w:rsidP="00C64336">
      <w:pPr>
        <w:spacing w:line="312" w:lineRule="auto"/>
        <w:jc w:val="both"/>
      </w:pPr>
      <w:r w:rsidRPr="00CB5B48">
        <w:rPr>
          <w:u w:val="single"/>
        </w:rPr>
        <w:t>Kritéria splněna:</w:t>
      </w:r>
      <w:r w:rsidRPr="00CB5B48">
        <w:t xml:space="preserve"> ano</w:t>
      </w:r>
    </w:p>
    <w:p w:rsidR="00C64336" w:rsidRPr="00CB5B48" w:rsidRDefault="00C64336" w:rsidP="00C64336">
      <w:pPr>
        <w:spacing w:line="312" w:lineRule="auto"/>
        <w:jc w:val="both"/>
      </w:pPr>
    </w:p>
    <w:p w:rsidR="00C64336" w:rsidRPr="00CB5B48" w:rsidRDefault="00C64336" w:rsidP="00C64336">
      <w:pPr>
        <w:spacing w:line="312" w:lineRule="auto"/>
        <w:jc w:val="both"/>
        <w:rPr>
          <w:u w:val="single"/>
        </w:rPr>
      </w:pPr>
      <w:r w:rsidRPr="00CB5B48">
        <w:rPr>
          <w:u w:val="single"/>
        </w:rPr>
        <w:t>Důvody nesplnění a komentáře:</w:t>
      </w:r>
    </w:p>
    <w:p w:rsidR="00C64336" w:rsidRPr="00CB5B48" w:rsidRDefault="00C64336" w:rsidP="00C64336">
      <w:pPr>
        <w:spacing w:line="312" w:lineRule="auto"/>
        <w:jc w:val="both"/>
      </w:pPr>
      <w:r w:rsidRPr="00CB5B48">
        <w:t>Nákladově optimální úrovně minimálních požadavků na energetickou náročnost byly vypočteny podle srovnávacího metodického rámce, jejž Komise stanovila pro různé kategorie budov. Česká republika zapracovala minimální požadavky na energetickou náročnost budov podle článku 3, článku 4 a článku 5 směrnice 2010/31/EU do zákona č. 406/2000 Sb. o hospodaření energií (paragraf 7 „Snižování energetické náročnosti budov“). Konkrétní technické požadavky stanovuje vyhláška č. 78/2013 Sb. o energetické náročnosti budov. Paragraf 6 této vyhlášky stanovuje požadavky na energetickou náročnost stanovené na nákladově optimální úrovni. Příloha č. 2 a 3 této vyhlášky stanovuje konkrétní technické údaje.</w:t>
      </w:r>
    </w:p>
    <w:p w:rsidR="00C64336" w:rsidRPr="00CB5B48" w:rsidRDefault="00C64336" w:rsidP="00C64336">
      <w:pPr>
        <w:spacing w:line="312" w:lineRule="auto"/>
        <w:jc w:val="both"/>
      </w:pPr>
    </w:p>
    <w:p w:rsidR="00C64336" w:rsidRDefault="00C64336" w:rsidP="00C64336">
      <w:pPr>
        <w:spacing w:line="312" w:lineRule="auto"/>
        <w:jc w:val="both"/>
        <w:rPr>
          <w:i/>
        </w:rPr>
      </w:pPr>
      <w:r w:rsidRPr="00CB5B48">
        <w:rPr>
          <w:i/>
        </w:rPr>
        <w:t>II. opatření nezbytná pro zavedení systému certifikace energetické náročnosti budov v souladu s článkem 11 směrnice 2010/31/EU.</w:t>
      </w:r>
    </w:p>
    <w:p w:rsidR="00C64336" w:rsidRPr="00CB5B48" w:rsidRDefault="00C64336" w:rsidP="00C64336">
      <w:pPr>
        <w:spacing w:line="312" w:lineRule="auto"/>
        <w:jc w:val="both"/>
        <w:rPr>
          <w:i/>
        </w:rPr>
      </w:pPr>
    </w:p>
    <w:p w:rsidR="00C64336" w:rsidRDefault="00C64336" w:rsidP="00C64336">
      <w:pPr>
        <w:spacing w:line="312" w:lineRule="auto"/>
        <w:jc w:val="both"/>
      </w:pPr>
      <w:r w:rsidRPr="00CB5B48">
        <w:t>Není splněno kritérium 2 (článek 11). Vyhláška č. 78/2013 Sb. paragraf 8 odst. 2 stanovuje, že ekonomická vhodnost se dokládá dosažením prosté doby návratnosti kratší než doba životnosti doporučeného opatření. To není zcela v souladu s ustanovením čl. 11 odst. 3 směrnice, jež požaduje, aby certifikát udával rozsah období návratnosti nebo nákladů a výnosů po dobu ekonomického životního cyklu budovy, a proto není provedení ve vnitrostátním právu správné.</w:t>
      </w:r>
    </w:p>
    <w:p w:rsidR="00C64336" w:rsidRPr="00CB5B48" w:rsidRDefault="00C64336" w:rsidP="00C64336">
      <w:pPr>
        <w:spacing w:line="312" w:lineRule="auto"/>
        <w:jc w:val="both"/>
        <w:rPr>
          <w:bCs/>
        </w:rPr>
      </w:pPr>
      <w:r w:rsidRPr="00CB5B48">
        <w:t xml:space="preserve"> </w:t>
      </w:r>
    </w:p>
    <w:p w:rsidR="00C64336" w:rsidRDefault="00C64336" w:rsidP="00C64336">
      <w:pPr>
        <w:spacing w:line="312" w:lineRule="auto"/>
        <w:jc w:val="both"/>
      </w:pPr>
      <w:r w:rsidRPr="00CB5B48">
        <w:rPr>
          <w:u w:val="single"/>
        </w:rPr>
        <w:t>Kritéria splněna:</w:t>
      </w:r>
      <w:r w:rsidRPr="00CB5B48">
        <w:t xml:space="preserve"> ano</w:t>
      </w:r>
    </w:p>
    <w:p w:rsidR="00C64336" w:rsidRPr="00CB5B48" w:rsidRDefault="00C64336" w:rsidP="00C64336">
      <w:pPr>
        <w:spacing w:line="312" w:lineRule="auto"/>
        <w:jc w:val="both"/>
        <w:rPr>
          <w:bCs/>
        </w:rPr>
      </w:pPr>
    </w:p>
    <w:p w:rsidR="00C64336" w:rsidRPr="00CB5B48" w:rsidRDefault="00C64336" w:rsidP="00C64336">
      <w:pPr>
        <w:spacing w:line="312" w:lineRule="auto"/>
        <w:jc w:val="both"/>
        <w:rPr>
          <w:bCs/>
          <w:u w:val="single"/>
        </w:rPr>
      </w:pPr>
      <w:r w:rsidRPr="00CB5B48">
        <w:rPr>
          <w:u w:val="single"/>
        </w:rPr>
        <w:t>Důvody nesplnění a komentáře:</w:t>
      </w:r>
    </w:p>
    <w:p w:rsidR="00C64336" w:rsidRPr="00CB5B48" w:rsidRDefault="00C64336" w:rsidP="00C64336">
      <w:pPr>
        <w:spacing w:line="312" w:lineRule="auto"/>
        <w:jc w:val="both"/>
      </w:pPr>
      <w:r w:rsidRPr="00CB5B48">
        <w:t xml:space="preserve">Česká republika se domnívá, že výše uvedený požadavek není v souladu s požadavkem směrnice Evropského parlamentu a Rady 2010/31/EU o energetické náročnosti budov (přepracování), jejíž čl. 11 odst. 3 ukládá pouze povinnost, že doporučení obsažená v certifikátu energetické náročnosti musí být pro konkrétní budovu technicky proveditelná. Uvedený článek nestanovuje žádnou další povinnost. Dále upozorňuje na to, že doporučení obsažená v certifikátu </w:t>
      </w:r>
      <w:r w:rsidRPr="00CB5B48">
        <w:rPr>
          <w:b/>
          <w:u w:val="single"/>
        </w:rPr>
        <w:t>mohou,</w:t>
      </w:r>
      <w:r w:rsidRPr="00CB5B48">
        <w:t xml:space="preserve"> a </w:t>
      </w:r>
      <w:r w:rsidRPr="00CB5B48">
        <w:rPr>
          <w:b/>
        </w:rPr>
        <w:t>nikoliv musí</w:t>
      </w:r>
      <w:r w:rsidRPr="00CB5B48">
        <w:t xml:space="preserve"> udávat odhad rozsahu období návratnosti nebo nákladů a výnosů po dobu jejího ekonomického životního cyklu.</w:t>
      </w:r>
    </w:p>
    <w:p w:rsidR="00C64336" w:rsidRPr="00CB5B48" w:rsidRDefault="00C64336" w:rsidP="00C64336">
      <w:pPr>
        <w:spacing w:line="312" w:lineRule="auto"/>
        <w:jc w:val="both"/>
      </w:pPr>
    </w:p>
    <w:p w:rsidR="00C64336" w:rsidRPr="00CB5B48" w:rsidRDefault="00C64336" w:rsidP="00C64336">
      <w:pPr>
        <w:numPr>
          <w:ilvl w:val="0"/>
          <w:numId w:val="4"/>
        </w:numPr>
        <w:spacing w:line="312" w:lineRule="auto"/>
        <w:jc w:val="both"/>
      </w:pPr>
      <w:r w:rsidRPr="00CB5B48">
        <w:t xml:space="preserve">Certifikát energetické náročnosti existuje proto, aby umožnil vlastníkům nebo nájemcům budovy nebo ucelené části budovy porovnání a posouzení její energetické náročnosti (citace vnitrostátního/regionálního regulačního rámce). </w:t>
      </w:r>
    </w:p>
    <w:p w:rsidR="00C64336" w:rsidRDefault="00C64336" w:rsidP="00C64336">
      <w:pPr>
        <w:numPr>
          <w:ilvl w:val="0"/>
          <w:numId w:val="3"/>
        </w:numPr>
        <w:spacing w:line="312" w:lineRule="auto"/>
        <w:jc w:val="both"/>
      </w:pPr>
      <w:r w:rsidRPr="00CB5B48">
        <w:t>Certifikáty obsahují alespoň tyto údaje: energetická náročnost budovy, referenční hodnoty, jako jsou minimální požadavky na energetickou náročnost, a doporučení na snížení energetické náročnosti budovy nebo ucelené části budovy, které je optimální nebo efektivní vzhledem k vynaloženým nákladům. Poskytne také údaje o tom, kde vlastník nebo nájemce může získat podrobnější informace.</w:t>
      </w:r>
    </w:p>
    <w:p w:rsidR="00C64336" w:rsidRPr="00CB5B48" w:rsidRDefault="00C64336" w:rsidP="00C64336">
      <w:pPr>
        <w:spacing w:line="312" w:lineRule="auto"/>
        <w:ind w:left="720"/>
        <w:jc w:val="both"/>
      </w:pPr>
    </w:p>
    <w:p w:rsidR="00C64336" w:rsidRDefault="00C64336" w:rsidP="00C64336">
      <w:pPr>
        <w:spacing w:line="312" w:lineRule="auto"/>
        <w:jc w:val="both"/>
      </w:pPr>
      <w:r w:rsidRPr="00CB5B48">
        <w:rPr>
          <w:u w:val="single"/>
        </w:rPr>
        <w:t>Kritéria splněna:</w:t>
      </w:r>
      <w:r w:rsidRPr="00CB5B48">
        <w:t xml:space="preserve"> ne</w:t>
      </w:r>
    </w:p>
    <w:p w:rsidR="00C64336" w:rsidRPr="00CB5B48" w:rsidRDefault="00C64336" w:rsidP="00C64336">
      <w:pPr>
        <w:spacing w:line="312" w:lineRule="auto"/>
        <w:jc w:val="both"/>
      </w:pPr>
    </w:p>
    <w:p w:rsidR="00C64336" w:rsidRPr="00CB5B48" w:rsidRDefault="00C64336" w:rsidP="00C64336">
      <w:pPr>
        <w:spacing w:line="312" w:lineRule="auto"/>
        <w:jc w:val="both"/>
        <w:rPr>
          <w:u w:val="single"/>
        </w:rPr>
      </w:pPr>
      <w:r w:rsidRPr="00CB5B48">
        <w:rPr>
          <w:u w:val="single"/>
        </w:rPr>
        <w:t>Důvody nesplnění a komentáře:</w:t>
      </w:r>
    </w:p>
    <w:p w:rsidR="00C64336" w:rsidRPr="00CB5B48" w:rsidRDefault="00C64336" w:rsidP="00C64336">
      <w:pPr>
        <w:spacing w:line="312" w:lineRule="auto"/>
        <w:jc w:val="both"/>
      </w:pPr>
      <w:r w:rsidRPr="00CB5B48">
        <w:t xml:space="preserve">Česká republika provedla ve vnitrostátním právu požadavky na certifikáty energetické náročnosti v souladu s článkem 11 směrnice 2010/31/EU. Provedla je zákonem č. 406/2000 Sb. o hospodaření energií. Příslušný požadavek je obsažen v paragrafu 7a „Průkaz energetické náročnosti“. Konkrétní požadavky stanovuje vyhláška č. 78/2013 Sb. o energetické náročnosti budov. Paragraf 9 stanovuje vzor a obsah průkazu. Příloha </w:t>
      </w:r>
      <w:proofErr w:type="gramStart"/>
      <w:r w:rsidRPr="00CB5B48">
        <w:t>č. 4 této</w:t>
      </w:r>
      <w:proofErr w:type="gramEnd"/>
      <w:r w:rsidRPr="00CB5B48">
        <w:t xml:space="preserve"> vyhlášky stanovuje konkrétní technické údaje. Avšak v souvislosti s řízením pro nesplnění povinnosti CZ 2012/0335 Evropská komise České republice vytýká, že z provedení v právních předpisech České republiky není jasné, že mezi opatření uvedená v certifikátu energetické náročnosti by měla být zahrnuta také opatření přijatá v souvislosti s jednotlivými prvky budov nezávisle na větší renovaci (čl. 11 odst. 2 písm. b) směrnice – doporučená opatření pro jednotlivé prvky budov). Další námitka Evropské komise zní, že i když ČR v souladu s čl. 11 odst. 4 zavedla nástroje pro podrobnější informování, konkrétně v podobě informačních služeb EKIS, v českých právních předpisech není uveden žádný odkaz na tyto služby. Uvedené stížnosti Komise budou zohledněny ve vyhlášce Ministerstva obchodu a průmyslu č. 78/2013 Sb. o energetické náročnosti budov. Co se týče vnitrostátního legislativního procesu, zmíněná změna vyhlášky č. 78/2013 Sb. </w:t>
      </w:r>
      <w:r w:rsidR="00336CC6" w:rsidRPr="00336CC6">
        <w:t>má nabýt účinnosti dnem 1. července 2015.</w:t>
      </w:r>
    </w:p>
    <w:p w:rsidR="00C64336" w:rsidRPr="00CB5B48" w:rsidRDefault="00C64336" w:rsidP="00C64336">
      <w:pPr>
        <w:spacing w:line="312" w:lineRule="auto"/>
        <w:jc w:val="both"/>
        <w:rPr>
          <w:i/>
        </w:rPr>
      </w:pPr>
    </w:p>
    <w:p w:rsidR="00C64336" w:rsidRPr="009A3A53" w:rsidRDefault="00C64336" w:rsidP="00C64336">
      <w:pPr>
        <w:spacing w:line="312" w:lineRule="auto"/>
        <w:jc w:val="both"/>
        <w:rPr>
          <w:i/>
        </w:rPr>
      </w:pPr>
      <w:r w:rsidRPr="009A3A53">
        <w:rPr>
          <w:i/>
        </w:rPr>
        <w:t>III. Opatření k zajištění strategického plánování v oblasti energetické účinnosti, v souladu s článkem 3 směrnice 2012/12/EU</w:t>
      </w:r>
    </w:p>
    <w:p w:rsidR="00C64336" w:rsidRPr="009A3A53" w:rsidRDefault="00C64336" w:rsidP="00C64336">
      <w:pPr>
        <w:spacing w:line="312" w:lineRule="auto"/>
        <w:jc w:val="both"/>
      </w:pPr>
    </w:p>
    <w:p w:rsidR="00C64336" w:rsidRPr="009A3A53" w:rsidRDefault="00C64336" w:rsidP="00C64336">
      <w:pPr>
        <w:numPr>
          <w:ilvl w:val="0"/>
          <w:numId w:val="5"/>
        </w:numPr>
        <w:spacing w:line="312" w:lineRule="auto"/>
        <w:jc w:val="both"/>
      </w:pPr>
      <w:r w:rsidRPr="009A3A53">
        <w:t>Členský stát stanoví národní indikativní cíl v oblasti energetické účinnosti (směrnice stanovila lhůtu do 30. dubna 2013 v souladu s článkem 3 směrnice 2012/27/EU).</w:t>
      </w:r>
    </w:p>
    <w:p w:rsidR="00C64336" w:rsidRPr="009A3A53" w:rsidRDefault="00C64336" w:rsidP="00C64336">
      <w:pPr>
        <w:spacing w:line="312" w:lineRule="auto"/>
        <w:ind w:left="720"/>
        <w:jc w:val="both"/>
      </w:pPr>
    </w:p>
    <w:p w:rsidR="00C64336" w:rsidRPr="009A3A53" w:rsidRDefault="00C64336" w:rsidP="00C64336">
      <w:pPr>
        <w:spacing w:line="312" w:lineRule="auto"/>
        <w:jc w:val="both"/>
      </w:pPr>
      <w:r w:rsidRPr="009A3A53">
        <w:rPr>
          <w:u w:val="single"/>
        </w:rPr>
        <w:t>Kritéria splněna:</w:t>
      </w:r>
      <w:r w:rsidRPr="009A3A53">
        <w:t xml:space="preserve"> ne</w:t>
      </w:r>
    </w:p>
    <w:p w:rsidR="00C64336" w:rsidRPr="009A3A53" w:rsidRDefault="00C64336" w:rsidP="00C64336">
      <w:pPr>
        <w:spacing w:line="312" w:lineRule="auto"/>
        <w:jc w:val="both"/>
      </w:pPr>
    </w:p>
    <w:p w:rsidR="00C64336" w:rsidRPr="009A3A53" w:rsidRDefault="00C64336" w:rsidP="00C64336">
      <w:pPr>
        <w:spacing w:line="312" w:lineRule="auto"/>
        <w:jc w:val="both"/>
        <w:rPr>
          <w:u w:val="single"/>
        </w:rPr>
      </w:pPr>
      <w:r w:rsidRPr="009A3A53">
        <w:rPr>
          <w:u w:val="single"/>
        </w:rPr>
        <w:t>Důvody nesplnění a komentáře:</w:t>
      </w:r>
    </w:p>
    <w:p w:rsidR="00C64336" w:rsidRPr="00CB5B48" w:rsidRDefault="00C64336" w:rsidP="00C64336">
      <w:pPr>
        <w:spacing w:line="312" w:lineRule="auto"/>
        <w:jc w:val="both"/>
      </w:pPr>
      <w:r w:rsidRPr="009A3A53">
        <w:t>Nevčasná transpozice směrnice. Transpoziční lhůta uplynula dne 5. 6. 2014. Transpozice směrnice je prováděna novelou zákona č. 406/2000 Sb., o hospodaření energií a novelou zákona č. 458/2000 Sb., o podmínkách podnikání a o výkonu státní správy v energetických odvětvích a o změně některých zákonů (energetický zákon). Předpokládané nabytí účinnosti novel zákonů je v případě zákona č. 406/2000 Sb.</w:t>
      </w:r>
      <w:r w:rsidR="00336CC6">
        <w:t xml:space="preserve"> o hospodaření energií</w:t>
      </w:r>
      <w:r w:rsidRPr="009A3A53">
        <w:t> </w:t>
      </w:r>
      <w:r w:rsidRPr="00336CC6">
        <w:t xml:space="preserve">1. </w:t>
      </w:r>
      <w:r w:rsidR="00336CC6" w:rsidRPr="00336CC6">
        <w:t>července</w:t>
      </w:r>
      <w:r w:rsidRPr="00336CC6">
        <w:t xml:space="preserve"> 2015 a v</w:t>
      </w:r>
      <w:r w:rsidRPr="009A3A53">
        <w:t> příp</w:t>
      </w:r>
      <w:r w:rsidR="00336CC6">
        <w:t>adě zákona č. 458/2000 Sb. 1. července</w:t>
      </w:r>
      <w:r w:rsidRPr="009A3A53">
        <w:t xml:space="preserve"> 2015.</w:t>
      </w:r>
    </w:p>
    <w:p w:rsidR="00C64336" w:rsidRPr="00CB5B48" w:rsidRDefault="00C64336" w:rsidP="00C64336">
      <w:pPr>
        <w:spacing w:line="312" w:lineRule="auto"/>
        <w:jc w:val="both"/>
      </w:pPr>
    </w:p>
    <w:p w:rsidR="00C64336" w:rsidRDefault="00C64336" w:rsidP="00C64336">
      <w:pPr>
        <w:spacing w:line="312" w:lineRule="auto"/>
        <w:jc w:val="both"/>
        <w:rPr>
          <w:i/>
        </w:rPr>
      </w:pPr>
      <w:r w:rsidRPr="00CB5B48">
        <w:rPr>
          <w:i/>
        </w:rPr>
        <w:t>IV. opatření v souladu s článkem 13 směrnice 2006/32/ES, jež zajistí vybavení konečných zákazníků individuálními měřiči (směrnice stanovila lhůtu do 17. května 2008):</w:t>
      </w:r>
    </w:p>
    <w:p w:rsidR="00C64336" w:rsidRPr="00CB5B48" w:rsidRDefault="00C64336" w:rsidP="00C64336">
      <w:pPr>
        <w:spacing w:line="312" w:lineRule="auto"/>
        <w:jc w:val="both"/>
      </w:pPr>
    </w:p>
    <w:p w:rsidR="00C64336" w:rsidRDefault="00C64336" w:rsidP="00C64336">
      <w:pPr>
        <w:numPr>
          <w:ilvl w:val="0"/>
          <w:numId w:val="4"/>
        </w:numPr>
        <w:spacing w:line="312" w:lineRule="auto"/>
        <w:jc w:val="both"/>
      </w:pPr>
      <w:r w:rsidRPr="00CB5B48">
        <w:t>Členské státy zavedly regulační rámec, který zajistí, aby u nových budov nebo budov, které jsou předmětem větší renovace, či pokud je to technicky možné, byli koneční zákazníci odebírající elektřinu, zemní plyn, dálkové vytápění či chlazení a teplou vodu pro domácnosti vždy vybaveni, budou-li náklady úměrné potenciálním úsporám energie, individuálními měřiči, které přesně zobrazují skutečnou spotřebu energie a skutečnou dobu její spotřeby.</w:t>
      </w:r>
    </w:p>
    <w:p w:rsidR="00C64336" w:rsidRPr="00CB5B48" w:rsidRDefault="00C64336" w:rsidP="00C64336">
      <w:pPr>
        <w:spacing w:line="312" w:lineRule="auto"/>
        <w:ind w:left="720"/>
        <w:jc w:val="both"/>
      </w:pPr>
    </w:p>
    <w:p w:rsidR="00C64336" w:rsidRDefault="00C64336" w:rsidP="00C64336">
      <w:pPr>
        <w:spacing w:line="312" w:lineRule="auto"/>
        <w:jc w:val="both"/>
      </w:pPr>
      <w:r w:rsidRPr="00CB5B48">
        <w:rPr>
          <w:u w:val="single"/>
        </w:rPr>
        <w:t>Kritéria splněna:</w:t>
      </w:r>
      <w:r w:rsidRPr="00CB5B48">
        <w:t xml:space="preserve"> ne</w:t>
      </w:r>
    </w:p>
    <w:p w:rsidR="00C64336" w:rsidRPr="00CB5B48" w:rsidRDefault="00C64336" w:rsidP="00C64336">
      <w:pPr>
        <w:spacing w:line="312" w:lineRule="auto"/>
        <w:jc w:val="both"/>
      </w:pPr>
    </w:p>
    <w:p w:rsidR="00C64336" w:rsidRPr="00CB5B48" w:rsidRDefault="00C64336" w:rsidP="00C64336">
      <w:pPr>
        <w:spacing w:line="312" w:lineRule="auto"/>
        <w:jc w:val="both"/>
        <w:rPr>
          <w:u w:val="single"/>
        </w:rPr>
      </w:pPr>
      <w:r w:rsidRPr="00CB5B48">
        <w:rPr>
          <w:u w:val="single"/>
        </w:rPr>
        <w:t>Důvody nesplnění a komentáře:</w:t>
      </w:r>
    </w:p>
    <w:p w:rsidR="00C64336" w:rsidRPr="00CB5B48" w:rsidRDefault="00C64336" w:rsidP="00C64336">
      <w:pPr>
        <w:spacing w:line="312" w:lineRule="auto"/>
        <w:jc w:val="both"/>
      </w:pPr>
      <w:r w:rsidRPr="00CB5B48">
        <w:t xml:space="preserve">Dodávky elektřiny, zemního plynu, energie na vytápění a chlazení včetně dodávek teplé vody koncovým zákazníkům se v České republice měří již dlouho a tato měření jim v současnosti poskytují dostatečné informace o skutečné spotřebě za konkrétní období. Povinnosti týkající se měření spotřeby a účtování jsou ve vnitrostátním právu provedeny zákonem č. 458/2000 Sb., tzv. energetickým zákonem, konkrétně paragrafy 49, 71 a 78, zákonem č. 406/2000 Sb. o hospodaření energií, konkrétně paragrafem </w:t>
      </w:r>
      <w:r w:rsidR="00890E14">
        <w:t>7, a vyhláškami č. 108/2011</w:t>
      </w:r>
      <w:r w:rsidRPr="00CB5B48">
        <w:t xml:space="preserve"> Sb., č. 82/2011 Sb., č. 372/2001 Sb. a č. 541/2005 Sb. Tyto předpisy ukládají distributorům povinnost bezplatně instalovat měřicí zařízení, tedy vybavit koncové zákazníky měřičem. U dodávek tepla a teplé vody z centrálního zdroje se používají měřící zařízení pro účtování spotřeby na předávacích stanicích. Předávací stanice by měla být zřízena pokud možno pro každého zákazníka samostatně, zvláště u větších renovačních projektů. Takto naměřená spotřeba se dále transparentně účtuje pomocí různých druhů měřicích zařízení pro teplo a teplou vodu. Zřídí-li se nové připojení v nové budově nebo při větších renovacích podle směrnice 2002/91/ES, pro plyn a elektřinu příslušnou povinnost jasně stanovuje energetický zákon, pro vytápění tato povinnost platí všude tam, kde lze měřit skutečnou spotřebu. Komise však kritizuje Českou republiku za to, že české právní předpisy nestanovují dostatečně jasně povinnost zajistit podle čl. 13 odst. 1 směrnice, aby všichni koncoví zákazníci byli vybaveni individuálními elektroměry. Komise žádá, aby bylo výslovně stanoveno právo koncového zákazníka na individuální měřicí zařízení. ČR změní text § 2 odst. 2 písm. a) bodu 17 energetického zákona tak, aby definice zákazníka byla zcela v souladu s definicí uvedenou v čl. 3 písm. n) směrnice. Dále změní znění § 49 odst. 7 energetického zákona tak, aby bylo výslovně stanoveno právo zákazníka na individuální měřící zařízení. Co se týče vnitrostátního legislativního procesu, zmíněná změna energetického zákona má vstoupit v platnost 1. 7. 2015. Co se týče povinného zavádění měřicích zařízení v případě nového připojení v nové budově nebo při větší renovaci budovy, Česká republika opakuje, že uvedená povinnost distributorů zavést individuální měřiče není omezena pouze na stávající, nové nebo renovované budovy. Tato povinnost má opravdu široký rozsah, a tak je ve skutečnosti každý zákazník vybaven měřicím zařízením. Česká republika se tudíž domnívá, že pokud jde o jasnost navrhovaných změn, uvedený sporný bod se tím vyřeší. </w:t>
      </w:r>
    </w:p>
    <w:p w:rsidR="00C64336" w:rsidRPr="00CB5B48" w:rsidRDefault="00C64336" w:rsidP="00C64336">
      <w:pPr>
        <w:spacing w:line="312" w:lineRule="auto"/>
        <w:jc w:val="both"/>
      </w:pPr>
      <w:r w:rsidRPr="00CB5B48">
        <w:t xml:space="preserve">Dále Komise kritizuje Českou republiku za to, že české právní předpisy neplní dostatečně povinnost zajistit podle čl. 13 odst. 1 směrnice, aby všichni koncoví zákazníci byli vybaveni individuálními měřiči spotřeby tepla a teplé vody. Jak bylo uvedeno výše u výtky týkající se elektřiny, Česká republika se rozhodla vyhovět Evropské komisi a přijmout následující změny. Ustanovení § 7 odst. 4 zákona č. 406/2000 Sb. o hospodaření energií budou změněna. Změna zákona o hospodaření energií má vstoupit v platnost 1. </w:t>
      </w:r>
      <w:r w:rsidR="00890E14">
        <w:t>7</w:t>
      </w:r>
      <w:r w:rsidRPr="00CB5B48">
        <w:t>. 2015. Co se týče zavedení individuálních měřicích zařízení v případě nového připojení v nové budově nebo při větší renovaci budovy, ve shodě s vysvětlením uvedeným v odstavci výše můžeme poukázat na to, že příslušná výt</w:t>
      </w:r>
      <w:r w:rsidR="00003483">
        <w:t xml:space="preserve">ka se § 7 odst. 4 </w:t>
      </w:r>
      <w:r w:rsidRPr="00CB5B48">
        <w:t>zákona</w:t>
      </w:r>
      <w:r w:rsidR="00003483">
        <w:t xml:space="preserve"> o hospodaření energií</w:t>
      </w:r>
      <w:r w:rsidRPr="00CB5B48">
        <w:t xml:space="preserve"> netýká, neboť ustanovení této povinnosti nečiní rozdíl mezi již postavenými budovami a novými budovami a nestanovuje povinnost zavést měřicí zařízení při každé renovaci.</w:t>
      </w:r>
    </w:p>
    <w:p w:rsidR="00C64336" w:rsidRPr="00CB5B48" w:rsidRDefault="00C64336" w:rsidP="00C64336">
      <w:pPr>
        <w:spacing w:line="312" w:lineRule="auto"/>
        <w:jc w:val="both"/>
      </w:pPr>
    </w:p>
    <w:p w:rsidR="00C64336" w:rsidRDefault="00C64336" w:rsidP="00C64336">
      <w:pPr>
        <w:numPr>
          <w:ilvl w:val="0"/>
          <w:numId w:val="4"/>
        </w:numPr>
        <w:spacing w:line="312" w:lineRule="auto"/>
        <w:jc w:val="both"/>
      </w:pPr>
      <w:r w:rsidRPr="00CB5B48">
        <w:t>Tento regulační rámec má zajistit, aby bylo vyúčtování, které provádějí distributoři energie, provozovatelé distribučních soustav a maloobchodní prodejci energie, pokud je to vhodné, založeno na skutečné spotřebě energie, bylo předkládáno v jasné a pochopitelné formě a bylo prováděno často, aby zákazníci mohli svou spotřebu energie regulovat.</w:t>
      </w:r>
    </w:p>
    <w:p w:rsidR="00C64336" w:rsidRPr="00CB5B48" w:rsidRDefault="00C64336" w:rsidP="00C64336">
      <w:pPr>
        <w:spacing w:line="312" w:lineRule="auto"/>
        <w:ind w:left="720"/>
        <w:jc w:val="both"/>
      </w:pPr>
    </w:p>
    <w:p w:rsidR="00C64336" w:rsidRDefault="00C64336" w:rsidP="00C64336">
      <w:pPr>
        <w:spacing w:line="312" w:lineRule="auto"/>
        <w:jc w:val="both"/>
      </w:pPr>
      <w:r w:rsidRPr="00CB5B48">
        <w:rPr>
          <w:u w:val="single"/>
        </w:rPr>
        <w:t>Kritéria splněna:</w:t>
      </w:r>
      <w:r w:rsidRPr="00CB5B48">
        <w:t xml:space="preserve"> ne</w:t>
      </w:r>
    </w:p>
    <w:p w:rsidR="00C64336" w:rsidRPr="00CB5B48" w:rsidRDefault="00C64336" w:rsidP="00C64336">
      <w:pPr>
        <w:spacing w:line="312" w:lineRule="auto"/>
        <w:jc w:val="both"/>
      </w:pPr>
    </w:p>
    <w:p w:rsidR="00C64336" w:rsidRPr="00CB5B48" w:rsidRDefault="00C64336" w:rsidP="00C64336">
      <w:pPr>
        <w:spacing w:line="312" w:lineRule="auto"/>
        <w:jc w:val="both"/>
        <w:rPr>
          <w:u w:val="single"/>
        </w:rPr>
      </w:pPr>
      <w:r w:rsidRPr="00CB5B48">
        <w:rPr>
          <w:u w:val="single"/>
        </w:rPr>
        <w:t>Důvody nesplnění a komentáře:</w:t>
      </w:r>
    </w:p>
    <w:p w:rsidR="00C64336" w:rsidRPr="00CB5B48" w:rsidRDefault="00C64336" w:rsidP="00C64336">
      <w:pPr>
        <w:spacing w:line="312" w:lineRule="auto"/>
        <w:jc w:val="both"/>
      </w:pPr>
      <w:r w:rsidRPr="00CB5B48">
        <w:t>Spotřeba elektřiny, plynu a tepla se koncovým zákazníkům měří a platby se obecně provádějí formou měsíčních záloh a čtvrtletních nebo ročních vyúčtování. Vyúčtování obsahuje podrobné ekonomické údaje, informace o tom, jaké položky platba zahrnuje, a graf znázorňující srovnání se spotřebou za předchozí období. Zákaznicí si mohou zvolit formu platby. Komise však tvrdí, že poskytované informace o vyúčtování nejsou dostatečné. Nicméně Komise samotná prohlašuje, že to je pouze důsledek špatně upraveného práva koncového zákazníka na elektroměr a měřicí zařízení spotřeby tepla a teplé vody. Česká republika tudíž vychází z toho, že legislativní změny uvedené v odstavci výše tento problém nepochybně vyřeší. Co se týče vnitrostátního legislativního procesu, zmíněná změna energetického zákona m</w:t>
      </w:r>
      <w:r w:rsidR="00890E14">
        <w:t>á vstoupit v platnost 1. 7.</w:t>
      </w:r>
      <w:r w:rsidRPr="00CB5B48">
        <w:t xml:space="preserve"> 2015.</w:t>
      </w:r>
    </w:p>
    <w:p w:rsidR="00C64336" w:rsidRPr="00CB5B48" w:rsidRDefault="00C64336" w:rsidP="00C64336">
      <w:pPr>
        <w:spacing w:line="312" w:lineRule="auto"/>
        <w:jc w:val="both"/>
      </w:pPr>
    </w:p>
    <w:p w:rsidR="00C64336" w:rsidRDefault="00C64336" w:rsidP="00C64336">
      <w:pPr>
        <w:numPr>
          <w:ilvl w:val="0"/>
          <w:numId w:val="4"/>
        </w:numPr>
        <w:spacing w:line="312" w:lineRule="auto"/>
        <w:jc w:val="both"/>
      </w:pPr>
      <w:r w:rsidRPr="00CB5B48">
        <w:t>Členský stát může doložit, že konečným zákazníkům jsou v účtech, smlouvách, transakcích a stvrzenkách na distribučních místech poskytovány, kde je to vhodné, tyto informace: aktuální skutečné ceny a skutečná spotřeba energie; srovnání aktuální spotřeby energie se spotřebou za stejné období předchozího roku; kontaktní údaje na organizace spotřebitelů, energetické agentury nebo podobné subjekty (včetně adres internetových stránek), u nichž jsou dostupné informace o opatřeních ke zvýšení energetické účinnosti atd.</w:t>
      </w:r>
    </w:p>
    <w:p w:rsidR="00C64336" w:rsidRPr="00CB5B48" w:rsidRDefault="00C64336" w:rsidP="00C64336">
      <w:pPr>
        <w:spacing w:line="312" w:lineRule="auto"/>
        <w:ind w:left="720"/>
        <w:jc w:val="both"/>
      </w:pPr>
    </w:p>
    <w:p w:rsidR="00C64336" w:rsidRDefault="00C64336" w:rsidP="00C64336">
      <w:pPr>
        <w:spacing w:line="312" w:lineRule="auto"/>
        <w:jc w:val="both"/>
      </w:pPr>
      <w:r w:rsidRPr="00CB5B48">
        <w:rPr>
          <w:u w:val="single"/>
        </w:rPr>
        <w:t>Kritéria splněna:</w:t>
      </w:r>
      <w:r w:rsidRPr="00CB5B48">
        <w:t xml:space="preserve"> ano</w:t>
      </w:r>
    </w:p>
    <w:p w:rsidR="00C64336" w:rsidRPr="00CB5B48" w:rsidRDefault="00C64336" w:rsidP="00C64336">
      <w:pPr>
        <w:spacing w:line="312" w:lineRule="auto"/>
        <w:jc w:val="both"/>
      </w:pPr>
    </w:p>
    <w:p w:rsidR="00C64336" w:rsidRPr="00CB5B48" w:rsidRDefault="00C64336" w:rsidP="00C64336">
      <w:pPr>
        <w:spacing w:line="312" w:lineRule="auto"/>
        <w:jc w:val="both"/>
        <w:rPr>
          <w:u w:val="single"/>
        </w:rPr>
      </w:pPr>
      <w:r w:rsidRPr="00CB5B48">
        <w:rPr>
          <w:u w:val="single"/>
        </w:rPr>
        <w:t>Důvody nesplnění a komentáře:</w:t>
      </w:r>
    </w:p>
    <w:p w:rsidR="00C64336" w:rsidRDefault="00C64336" w:rsidP="00C64336">
      <w:pPr>
        <w:spacing w:line="312" w:lineRule="auto"/>
        <w:jc w:val="both"/>
      </w:pPr>
      <w:r w:rsidRPr="00CB5B48">
        <w:t xml:space="preserve">Vyúčtování dodávek elektřiny, plynu a energie na vytápění nebo chlazení se řídí vyhláškou č. 210/2011 Sb. o rozsahu, náležitostech a termínech vyúčtování dodávek elektřiny, plynu nebo tepelné energie a souvisejících služeb. Vyúčtování elektřiny a plynu zákazníci dostávají alespoň jednou ročně nebo v kratších intervalech a zálohy se platí každý měsíc. Dodavatelé tepla zákazníkům bezplatně vyúčtují dodávky tepelné energie nejméně jednou v každém kalendářním roce, a to nejpozději 31. prosince, jenž je posledním dnem účetního období. Dodavatelé tepla předloží zákazníkům vyúčtování za kalendářní rok nejpozději do 28. února následujícího kalendářního roku, pokud se se zákazníkem nedohodnou jinak. Koncoví zákazníci mohou získat veškeré potřebné informace v energetických konzultačních a informačních střediscích, jež fungují v každém kraji, nebo jim jejich dotazy mohou být zodpovězeny prostřednictvím internetového konzultačního střediska na adrese </w:t>
      </w:r>
      <w:hyperlink r:id="rId8">
        <w:r w:rsidRPr="00CB5B48">
          <w:rPr>
            <w:rStyle w:val="Hypertextovodkaz"/>
          </w:rPr>
          <w:t>http://www.mpo-efekt.cz/cz/ekis/i-ekis</w:t>
        </w:r>
      </w:hyperlink>
      <w:r w:rsidRPr="00CB5B48">
        <w:t>.</w:t>
      </w:r>
    </w:p>
    <w:p w:rsidR="00BC24C9" w:rsidRDefault="00BC24C9" w:rsidP="00C64336">
      <w:pPr>
        <w:spacing w:line="312" w:lineRule="auto"/>
        <w:jc w:val="both"/>
      </w:pPr>
    </w:p>
    <w:p w:rsidR="00BC24C9" w:rsidRPr="00CB5B48" w:rsidRDefault="00BC24C9" w:rsidP="00C64336">
      <w:pPr>
        <w:spacing w:line="312" w:lineRule="auto"/>
        <w:jc w:val="both"/>
      </w:pPr>
    </w:p>
    <w:p w:rsidR="00C64336" w:rsidRDefault="00C64336" w:rsidP="00C64336">
      <w:pPr>
        <w:spacing w:line="312" w:lineRule="auto"/>
        <w:jc w:val="both"/>
        <w:rPr>
          <w:b/>
          <w:u w:val="single"/>
        </w:rPr>
      </w:pPr>
      <w:r w:rsidRPr="00CB5B48">
        <w:rPr>
          <w:b/>
          <w:u w:val="single"/>
        </w:rPr>
        <w:t>Předběžný časový plán legislativního procesu:</w:t>
      </w:r>
    </w:p>
    <w:p w:rsidR="00C64336" w:rsidRPr="00CB5B48" w:rsidRDefault="00C64336" w:rsidP="00C64336">
      <w:pPr>
        <w:spacing w:line="312" w:lineRule="auto"/>
        <w:jc w:val="both"/>
        <w:rPr>
          <w:b/>
          <w:u w:val="single"/>
        </w:rPr>
      </w:pPr>
    </w:p>
    <w:p w:rsidR="00C64336" w:rsidRPr="00CB5B48" w:rsidRDefault="00C64336" w:rsidP="00C64336">
      <w:pPr>
        <w:spacing w:line="312" w:lineRule="auto"/>
        <w:jc w:val="both"/>
        <w:rPr>
          <w:i/>
          <w:u w:val="single"/>
        </w:rPr>
      </w:pPr>
      <w:r w:rsidRPr="00CB5B48">
        <w:rPr>
          <w:i/>
          <w:u w:val="single"/>
        </w:rPr>
        <w:t>Zákon č 406/2000 Sb., o hospodaření energií</w:t>
      </w:r>
    </w:p>
    <w:p w:rsidR="00C64336" w:rsidRDefault="00D33C96" w:rsidP="00C64336">
      <w:pPr>
        <w:spacing w:line="312" w:lineRule="auto"/>
        <w:jc w:val="both"/>
        <w:rPr>
          <w:i/>
        </w:rPr>
      </w:pPr>
      <w:r>
        <w:rPr>
          <w:i/>
        </w:rPr>
        <w:t>I.</w:t>
      </w:r>
      <w:r w:rsidR="00C64336" w:rsidRPr="00CB5B48">
        <w:rPr>
          <w:i/>
        </w:rPr>
        <w:t xml:space="preserve"> </w:t>
      </w:r>
      <w:r w:rsidR="00722443">
        <w:rPr>
          <w:i/>
        </w:rPr>
        <w:t>Vláda návrh zákona schválila</w:t>
      </w:r>
      <w:r w:rsidR="00D41CA8">
        <w:rPr>
          <w:i/>
        </w:rPr>
        <w:t xml:space="preserve"> a postoupila PSP ČR</w:t>
      </w:r>
      <w:r w:rsidR="00722443">
        <w:rPr>
          <w:i/>
        </w:rPr>
        <w:t xml:space="preserve"> dne 3. 9. 2014.</w:t>
      </w:r>
    </w:p>
    <w:p w:rsidR="00722443" w:rsidRDefault="00722443" w:rsidP="00C64336">
      <w:pPr>
        <w:spacing w:line="312" w:lineRule="auto"/>
        <w:jc w:val="both"/>
        <w:rPr>
          <w:i/>
        </w:rPr>
      </w:pPr>
      <w:r>
        <w:rPr>
          <w:i/>
        </w:rPr>
        <w:t xml:space="preserve">II. Dne 11. 2. na 25. schůzi PSP ČR proběhlo 3. čtení. </w:t>
      </w:r>
      <w:r w:rsidRPr="00722443">
        <w:rPr>
          <w:i/>
        </w:rPr>
        <w:t xml:space="preserve">Návrh zákona </w:t>
      </w:r>
      <w:r>
        <w:rPr>
          <w:i/>
        </w:rPr>
        <w:t xml:space="preserve">byl </w:t>
      </w:r>
      <w:r w:rsidRPr="00722443">
        <w:rPr>
          <w:i/>
        </w:rPr>
        <w:t>schválen</w:t>
      </w:r>
      <w:r>
        <w:rPr>
          <w:i/>
        </w:rPr>
        <w:t>.</w:t>
      </w:r>
    </w:p>
    <w:p w:rsidR="00D33C96" w:rsidRDefault="00D33C96" w:rsidP="00C64336">
      <w:pPr>
        <w:spacing w:line="312" w:lineRule="auto"/>
        <w:jc w:val="both"/>
        <w:rPr>
          <w:i/>
        </w:rPr>
      </w:pPr>
      <w:r>
        <w:rPr>
          <w:i/>
        </w:rPr>
        <w:t xml:space="preserve">III. </w:t>
      </w:r>
      <w:r w:rsidRPr="00D33C96">
        <w:rPr>
          <w:i/>
        </w:rPr>
        <w:t>Poslanecká sněmovna postoupila dne 24. 2. 2015 náv</w:t>
      </w:r>
      <w:r>
        <w:rPr>
          <w:i/>
        </w:rPr>
        <w:t xml:space="preserve">rh zákona Senátu. </w:t>
      </w:r>
      <w:r w:rsidRPr="00D33C96">
        <w:rPr>
          <w:i/>
        </w:rPr>
        <w:t xml:space="preserve">Návrh projednán dne </w:t>
      </w:r>
      <w:r>
        <w:rPr>
          <w:i/>
        </w:rPr>
        <w:t xml:space="preserve">19. 3. 2015 na 7. schůzi Senátu. </w:t>
      </w:r>
      <w:r w:rsidRPr="00D33C96">
        <w:rPr>
          <w:i/>
        </w:rPr>
        <w:t>Senát návrh vrátil sněmovně s pozměňovacími návrhy</w:t>
      </w:r>
      <w:r>
        <w:rPr>
          <w:i/>
        </w:rPr>
        <w:t>.</w:t>
      </w:r>
    </w:p>
    <w:p w:rsidR="00C64336" w:rsidRDefault="00D33C96" w:rsidP="00C64336">
      <w:pPr>
        <w:spacing w:line="312" w:lineRule="auto"/>
        <w:jc w:val="both"/>
        <w:rPr>
          <w:i/>
        </w:rPr>
      </w:pPr>
      <w:r>
        <w:rPr>
          <w:i/>
        </w:rPr>
        <w:t>IV. P</w:t>
      </w:r>
      <w:r w:rsidR="00C64336" w:rsidRPr="00CB5B48">
        <w:rPr>
          <w:i/>
        </w:rPr>
        <w:t>ředpokládané datum účinno</w:t>
      </w:r>
      <w:r w:rsidR="00C64336" w:rsidRPr="00D33C96">
        <w:rPr>
          <w:i/>
        </w:rPr>
        <w:t xml:space="preserve">sti: 1. </w:t>
      </w:r>
      <w:r w:rsidRPr="00D33C96">
        <w:rPr>
          <w:i/>
        </w:rPr>
        <w:t>7</w:t>
      </w:r>
      <w:r w:rsidR="00C64336" w:rsidRPr="00D33C96">
        <w:rPr>
          <w:i/>
        </w:rPr>
        <w:t>.</w:t>
      </w:r>
      <w:r w:rsidRPr="00D33C96">
        <w:rPr>
          <w:i/>
        </w:rPr>
        <w:t xml:space="preserve"> </w:t>
      </w:r>
      <w:r w:rsidR="00C64336" w:rsidRPr="00D33C96">
        <w:rPr>
          <w:i/>
        </w:rPr>
        <w:t>2015</w:t>
      </w:r>
      <w:r>
        <w:rPr>
          <w:i/>
        </w:rPr>
        <w:t>.</w:t>
      </w:r>
    </w:p>
    <w:p w:rsidR="00C64336" w:rsidRPr="00CB5B48" w:rsidRDefault="00C64336" w:rsidP="00C64336">
      <w:pPr>
        <w:spacing w:line="312" w:lineRule="auto"/>
        <w:jc w:val="both"/>
        <w:rPr>
          <w:i/>
        </w:rPr>
      </w:pPr>
    </w:p>
    <w:p w:rsidR="00C64336" w:rsidRPr="00CB5B48" w:rsidRDefault="00C64336" w:rsidP="00C64336">
      <w:pPr>
        <w:spacing w:line="312" w:lineRule="auto"/>
        <w:jc w:val="both"/>
        <w:rPr>
          <w:i/>
          <w:u w:val="single"/>
        </w:rPr>
      </w:pPr>
      <w:r w:rsidRPr="00CB5B48">
        <w:rPr>
          <w:i/>
          <w:u w:val="single"/>
        </w:rPr>
        <w:t>Zákon č. 458/2000 Sb., o podmínkách podnikání a o výkonu státní správy v energetických odvětvích a o změně některých zákonů (energetický zákon)</w:t>
      </w:r>
    </w:p>
    <w:p w:rsidR="00D33C96" w:rsidRDefault="00D33C96" w:rsidP="00D33C96">
      <w:pPr>
        <w:spacing w:line="312" w:lineRule="auto"/>
        <w:jc w:val="both"/>
        <w:rPr>
          <w:i/>
        </w:rPr>
      </w:pPr>
      <w:r>
        <w:rPr>
          <w:i/>
        </w:rPr>
        <w:t>I.</w:t>
      </w:r>
      <w:r w:rsidR="00C64336" w:rsidRPr="00CB5B48">
        <w:rPr>
          <w:i/>
        </w:rPr>
        <w:t xml:space="preserve"> </w:t>
      </w:r>
      <w:r w:rsidRPr="00D33C96">
        <w:rPr>
          <w:i/>
        </w:rPr>
        <w:t>V</w:t>
      </w:r>
      <w:r>
        <w:rPr>
          <w:i/>
        </w:rPr>
        <w:t>láda návrh zákona schválila dne 20. 10</w:t>
      </w:r>
      <w:r w:rsidRPr="00D33C96">
        <w:rPr>
          <w:i/>
        </w:rPr>
        <w:t>. 2014.</w:t>
      </w:r>
    </w:p>
    <w:p w:rsidR="00150D3B" w:rsidRDefault="00C64336" w:rsidP="00D33C96">
      <w:pPr>
        <w:spacing w:line="312" w:lineRule="auto"/>
        <w:jc w:val="both"/>
        <w:rPr>
          <w:i/>
        </w:rPr>
      </w:pPr>
      <w:r w:rsidRPr="00CB5B48">
        <w:rPr>
          <w:i/>
        </w:rPr>
        <w:t xml:space="preserve">II. </w:t>
      </w:r>
      <w:r w:rsidR="00D33C96" w:rsidRPr="00D33C96">
        <w:rPr>
          <w:i/>
        </w:rPr>
        <w:t xml:space="preserve">Vláda </w:t>
      </w:r>
      <w:r w:rsidR="00D33C96" w:rsidRPr="00D33C96">
        <w:rPr>
          <w:bCs/>
          <w:i/>
        </w:rPr>
        <w:t>předložila</w:t>
      </w:r>
      <w:r w:rsidR="00D33C96" w:rsidRPr="00D33C96">
        <w:rPr>
          <w:i/>
        </w:rPr>
        <w:t xml:space="preserve"> sněmovně návrh zákona 24. 10. 2014.</w:t>
      </w:r>
    </w:p>
    <w:p w:rsidR="00D41CA8" w:rsidRDefault="00D41CA8" w:rsidP="00D33C96">
      <w:pPr>
        <w:spacing w:line="312" w:lineRule="auto"/>
        <w:jc w:val="both"/>
        <w:rPr>
          <w:i/>
        </w:rPr>
      </w:pPr>
      <w:r>
        <w:rPr>
          <w:i/>
        </w:rPr>
        <w:t>III. Dne 11. 12. 2014 proběhlo 1. čtení.</w:t>
      </w:r>
      <w:r>
        <w:rPr>
          <w:i/>
        </w:rPr>
        <w:tab/>
      </w:r>
      <w:r>
        <w:rPr>
          <w:i/>
        </w:rPr>
        <w:tab/>
      </w:r>
      <w:r>
        <w:rPr>
          <w:i/>
        </w:rPr>
        <w:tab/>
      </w:r>
      <w:r>
        <w:rPr>
          <w:i/>
        </w:rPr>
        <w:tab/>
      </w:r>
      <w:r>
        <w:rPr>
          <w:i/>
        </w:rPr>
        <w:tab/>
      </w:r>
      <w:r>
        <w:rPr>
          <w:i/>
        </w:rPr>
        <w:tab/>
      </w:r>
      <w:r>
        <w:rPr>
          <w:i/>
        </w:rPr>
        <w:tab/>
      </w:r>
    </w:p>
    <w:p w:rsidR="00D33C96" w:rsidRDefault="00D41CA8" w:rsidP="00D33C96">
      <w:pPr>
        <w:spacing w:line="312" w:lineRule="auto"/>
        <w:jc w:val="both"/>
        <w:rPr>
          <w:i/>
        </w:rPr>
      </w:pPr>
      <w:r>
        <w:rPr>
          <w:i/>
        </w:rPr>
        <w:t>IV. Dne 11. 3. 2015 proběhlo 2. čtení.</w:t>
      </w:r>
    </w:p>
    <w:p w:rsidR="00D41CA8" w:rsidRDefault="00D41CA8" w:rsidP="00D33C96">
      <w:pPr>
        <w:spacing w:line="312" w:lineRule="auto"/>
        <w:jc w:val="both"/>
        <w:rPr>
          <w:i/>
        </w:rPr>
      </w:pPr>
      <w:r>
        <w:rPr>
          <w:i/>
        </w:rPr>
        <w:t xml:space="preserve">V. </w:t>
      </w:r>
      <w:r w:rsidRPr="00D41CA8">
        <w:rPr>
          <w:i/>
        </w:rPr>
        <w:t>Předpokládané datum účinnosti: 1. 7. 2015.</w:t>
      </w:r>
    </w:p>
    <w:p w:rsidR="006A3CD7" w:rsidRDefault="006A3CD7" w:rsidP="006A3CD7">
      <w:pPr>
        <w:spacing w:line="312" w:lineRule="auto"/>
        <w:jc w:val="both"/>
        <w:rPr>
          <w:i/>
        </w:rPr>
      </w:pPr>
    </w:p>
    <w:p w:rsidR="00003483" w:rsidRPr="00DF1369" w:rsidRDefault="00003483" w:rsidP="006A3CD7">
      <w:pPr>
        <w:spacing w:line="312" w:lineRule="auto"/>
        <w:jc w:val="both"/>
        <w:rPr>
          <w:szCs w:val="24"/>
        </w:rPr>
      </w:pPr>
    </w:p>
    <w:p w:rsidR="00F938E4" w:rsidRPr="00DF1369" w:rsidRDefault="006A3CD7" w:rsidP="00C64336">
      <w:pPr>
        <w:spacing w:line="312" w:lineRule="auto"/>
        <w:jc w:val="both"/>
        <w:rPr>
          <w:szCs w:val="24"/>
        </w:rPr>
      </w:pPr>
      <w:r w:rsidRPr="00DF1369">
        <w:rPr>
          <w:szCs w:val="24"/>
        </w:rPr>
        <w:t>Min</w:t>
      </w:r>
      <w:r w:rsidR="00DF1369" w:rsidRPr="00DF1369">
        <w:rPr>
          <w:szCs w:val="24"/>
        </w:rPr>
        <w:t>isterstvo průmyslu a obchodu</w:t>
      </w:r>
    </w:p>
    <w:p w:rsidR="00B0129B" w:rsidRPr="00DF1369" w:rsidRDefault="00B0129B" w:rsidP="00C64336">
      <w:pPr>
        <w:spacing w:line="312" w:lineRule="auto"/>
        <w:jc w:val="both"/>
        <w:rPr>
          <w:szCs w:val="24"/>
        </w:rPr>
      </w:pPr>
      <w:r w:rsidRPr="00DF1369">
        <w:rPr>
          <w:szCs w:val="24"/>
        </w:rPr>
        <w:t>Aktualizace k</w:t>
      </w:r>
      <w:r w:rsidR="00DF1369" w:rsidRPr="00DF1369">
        <w:rPr>
          <w:szCs w:val="24"/>
        </w:rPr>
        <w:t> 23. 3. 2015</w:t>
      </w:r>
    </w:p>
    <w:sectPr w:rsidR="00B0129B" w:rsidRPr="00DF1369" w:rsidSect="000857EF">
      <w:footerReference w:type="default" r:id="rId9"/>
      <w:pgSz w:w="11906" w:h="16838"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72D" w:rsidRDefault="00FE072D" w:rsidP="00C64336">
      <w:r>
        <w:separator/>
      </w:r>
    </w:p>
  </w:endnote>
  <w:endnote w:type="continuationSeparator" w:id="0">
    <w:p w:rsidR="00FE072D" w:rsidRDefault="00FE072D" w:rsidP="00C64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20002A87" w:usb1="00000000" w:usb2="00000000"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8AF" w:rsidRPr="00053CF1" w:rsidRDefault="00C64336">
    <w:pPr>
      <w:pStyle w:val="Zpat"/>
      <w:jc w:val="right"/>
      <w:rPr>
        <w:sz w:val="20"/>
      </w:rPr>
    </w:pPr>
    <w:r w:rsidRPr="00053CF1">
      <w:rPr>
        <w:sz w:val="20"/>
      </w:rPr>
      <w:fldChar w:fldCharType="begin"/>
    </w:r>
    <w:r w:rsidRPr="00053CF1">
      <w:rPr>
        <w:sz w:val="20"/>
      </w:rPr>
      <w:instrText>PAGE   \* MERGEFORMAT</w:instrText>
    </w:r>
    <w:r w:rsidRPr="00053CF1">
      <w:rPr>
        <w:sz w:val="20"/>
      </w:rPr>
      <w:fldChar w:fldCharType="separate"/>
    </w:r>
    <w:r w:rsidR="00F13AB3">
      <w:rPr>
        <w:noProof/>
        <w:sz w:val="20"/>
      </w:rPr>
      <w:t>1</w:t>
    </w:r>
    <w:r w:rsidRPr="00053CF1">
      <w:rPr>
        <w:sz w:val="20"/>
      </w:rPr>
      <w:fldChar w:fldCharType="end"/>
    </w:r>
  </w:p>
  <w:p w:rsidR="002B18AF" w:rsidRDefault="00FE072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72D" w:rsidRDefault="00FE072D" w:rsidP="00C64336">
      <w:r>
        <w:separator/>
      </w:r>
    </w:p>
  </w:footnote>
  <w:footnote w:type="continuationSeparator" w:id="0">
    <w:p w:rsidR="00FE072D" w:rsidRDefault="00FE072D" w:rsidP="00C64336">
      <w:r>
        <w:continuationSeparator/>
      </w:r>
    </w:p>
  </w:footnote>
  <w:footnote w:id="1">
    <w:p w:rsidR="00C64336" w:rsidRDefault="00C64336" w:rsidP="00C64336">
      <w:pPr>
        <w:pStyle w:val="Textpoznpodarou"/>
        <w:jc w:val="both"/>
      </w:pPr>
      <w:r>
        <w:rPr>
          <w:rStyle w:val="Znakapoznpodarou"/>
        </w:rPr>
        <w:footnoteRef/>
      </w:r>
      <w:r>
        <w:t xml:space="preserve"> Nařízení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B7E6F"/>
    <w:multiLevelType w:val="hybridMultilevel"/>
    <w:tmpl w:val="F2CE6D80"/>
    <w:lvl w:ilvl="0" w:tplc="04050003">
      <w:start w:val="1"/>
      <w:numFmt w:val="bulle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
    <w:nsid w:val="274D677C"/>
    <w:multiLevelType w:val="hybridMultilevel"/>
    <w:tmpl w:val="42AADC00"/>
    <w:lvl w:ilvl="0" w:tplc="DA3E10F8">
      <w:start w:val="3"/>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
    <w:nsid w:val="30834D6D"/>
    <w:multiLevelType w:val="hybridMultilevel"/>
    <w:tmpl w:val="3B00B860"/>
    <w:lvl w:ilvl="0" w:tplc="DA3E10F8">
      <w:start w:val="3"/>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37F47BC"/>
    <w:multiLevelType w:val="hybridMultilevel"/>
    <w:tmpl w:val="39BC610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4">
    <w:nsid w:val="59D04896"/>
    <w:multiLevelType w:val="hybridMultilevel"/>
    <w:tmpl w:val="7B8412F6"/>
    <w:lvl w:ilvl="0" w:tplc="04050003">
      <w:start w:val="1"/>
      <w:numFmt w:val="bulle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336"/>
    <w:rsid w:val="00003483"/>
    <w:rsid w:val="000F3B98"/>
    <w:rsid w:val="00150D3B"/>
    <w:rsid w:val="0018547D"/>
    <w:rsid w:val="00273523"/>
    <w:rsid w:val="002F3768"/>
    <w:rsid w:val="00314975"/>
    <w:rsid w:val="00336CC6"/>
    <w:rsid w:val="003A65D8"/>
    <w:rsid w:val="006A3CD7"/>
    <w:rsid w:val="006E28AF"/>
    <w:rsid w:val="00722443"/>
    <w:rsid w:val="007377ED"/>
    <w:rsid w:val="0085325E"/>
    <w:rsid w:val="00855994"/>
    <w:rsid w:val="00890E14"/>
    <w:rsid w:val="00977CE3"/>
    <w:rsid w:val="009A3A53"/>
    <w:rsid w:val="00A46AE1"/>
    <w:rsid w:val="00B0129B"/>
    <w:rsid w:val="00B87E6B"/>
    <w:rsid w:val="00BB412C"/>
    <w:rsid w:val="00BC24C9"/>
    <w:rsid w:val="00C64336"/>
    <w:rsid w:val="00D33C96"/>
    <w:rsid w:val="00D41CA8"/>
    <w:rsid w:val="00DF1369"/>
    <w:rsid w:val="00F13AB3"/>
    <w:rsid w:val="00F938E4"/>
    <w:rsid w:val="00FA047F"/>
    <w:rsid w:val="00FB3B08"/>
    <w:rsid w:val="00FD1BD1"/>
    <w:rsid w:val="00FE072D"/>
    <w:rsid w:val="00FE61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64336"/>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semiHidden/>
    <w:rsid w:val="00C64336"/>
    <w:rPr>
      <w:sz w:val="20"/>
    </w:rPr>
  </w:style>
  <w:style w:type="character" w:customStyle="1" w:styleId="TextpoznpodarouChar">
    <w:name w:val="Text pozn. pod čarou Char"/>
    <w:basedOn w:val="Standardnpsmoodstavce"/>
    <w:link w:val="Textpoznpodarou"/>
    <w:semiHidden/>
    <w:rsid w:val="00C64336"/>
  </w:style>
  <w:style w:type="character" w:styleId="Znakapoznpodarou">
    <w:name w:val="footnote reference"/>
    <w:semiHidden/>
    <w:rsid w:val="00C64336"/>
    <w:rPr>
      <w:vertAlign w:val="superscript"/>
    </w:rPr>
  </w:style>
  <w:style w:type="character" w:styleId="Hypertextovodkaz">
    <w:name w:val="Hyperlink"/>
    <w:rsid w:val="00C64336"/>
    <w:rPr>
      <w:color w:val="0000FF"/>
      <w:u w:val="single"/>
    </w:rPr>
  </w:style>
  <w:style w:type="paragraph" w:styleId="Zpat">
    <w:name w:val="footer"/>
    <w:basedOn w:val="Normln"/>
    <w:link w:val="ZpatChar"/>
    <w:uiPriority w:val="99"/>
    <w:rsid w:val="00C64336"/>
    <w:pPr>
      <w:tabs>
        <w:tab w:val="center" w:pos="4536"/>
        <w:tab w:val="right" w:pos="9072"/>
      </w:tabs>
    </w:pPr>
  </w:style>
  <w:style w:type="character" w:customStyle="1" w:styleId="ZpatChar">
    <w:name w:val="Zápatí Char"/>
    <w:basedOn w:val="Standardnpsmoodstavce"/>
    <w:link w:val="Zpat"/>
    <w:uiPriority w:val="99"/>
    <w:rsid w:val="00C64336"/>
    <w:rPr>
      <w:sz w:val="24"/>
    </w:rPr>
  </w:style>
  <w:style w:type="paragraph" w:styleId="Textbubliny">
    <w:name w:val="Balloon Text"/>
    <w:basedOn w:val="Normln"/>
    <w:link w:val="TextbublinyChar"/>
    <w:uiPriority w:val="99"/>
    <w:semiHidden/>
    <w:unhideWhenUsed/>
    <w:rsid w:val="00150D3B"/>
    <w:rPr>
      <w:rFonts w:ascii="Tahoma" w:hAnsi="Tahoma" w:cs="Tahoma"/>
      <w:sz w:val="16"/>
      <w:szCs w:val="16"/>
    </w:rPr>
  </w:style>
  <w:style w:type="character" w:customStyle="1" w:styleId="TextbublinyChar">
    <w:name w:val="Text bubliny Char"/>
    <w:basedOn w:val="Standardnpsmoodstavce"/>
    <w:link w:val="Textbubliny"/>
    <w:uiPriority w:val="99"/>
    <w:semiHidden/>
    <w:rsid w:val="00150D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64336"/>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semiHidden/>
    <w:rsid w:val="00C64336"/>
    <w:rPr>
      <w:sz w:val="20"/>
    </w:rPr>
  </w:style>
  <w:style w:type="character" w:customStyle="1" w:styleId="TextpoznpodarouChar">
    <w:name w:val="Text pozn. pod čarou Char"/>
    <w:basedOn w:val="Standardnpsmoodstavce"/>
    <w:link w:val="Textpoznpodarou"/>
    <w:semiHidden/>
    <w:rsid w:val="00C64336"/>
  </w:style>
  <w:style w:type="character" w:styleId="Znakapoznpodarou">
    <w:name w:val="footnote reference"/>
    <w:semiHidden/>
    <w:rsid w:val="00C64336"/>
    <w:rPr>
      <w:vertAlign w:val="superscript"/>
    </w:rPr>
  </w:style>
  <w:style w:type="character" w:styleId="Hypertextovodkaz">
    <w:name w:val="Hyperlink"/>
    <w:rsid w:val="00C64336"/>
    <w:rPr>
      <w:color w:val="0000FF"/>
      <w:u w:val="single"/>
    </w:rPr>
  </w:style>
  <w:style w:type="paragraph" w:styleId="Zpat">
    <w:name w:val="footer"/>
    <w:basedOn w:val="Normln"/>
    <w:link w:val="ZpatChar"/>
    <w:uiPriority w:val="99"/>
    <w:rsid w:val="00C64336"/>
    <w:pPr>
      <w:tabs>
        <w:tab w:val="center" w:pos="4536"/>
        <w:tab w:val="right" w:pos="9072"/>
      </w:tabs>
    </w:pPr>
  </w:style>
  <w:style w:type="character" w:customStyle="1" w:styleId="ZpatChar">
    <w:name w:val="Zápatí Char"/>
    <w:basedOn w:val="Standardnpsmoodstavce"/>
    <w:link w:val="Zpat"/>
    <w:uiPriority w:val="99"/>
    <w:rsid w:val="00C64336"/>
    <w:rPr>
      <w:sz w:val="24"/>
    </w:rPr>
  </w:style>
  <w:style w:type="paragraph" w:styleId="Textbubliny">
    <w:name w:val="Balloon Text"/>
    <w:basedOn w:val="Normln"/>
    <w:link w:val="TextbublinyChar"/>
    <w:uiPriority w:val="99"/>
    <w:semiHidden/>
    <w:unhideWhenUsed/>
    <w:rsid w:val="00150D3B"/>
    <w:rPr>
      <w:rFonts w:ascii="Tahoma" w:hAnsi="Tahoma" w:cs="Tahoma"/>
      <w:sz w:val="16"/>
      <w:szCs w:val="16"/>
    </w:rPr>
  </w:style>
  <w:style w:type="character" w:customStyle="1" w:styleId="TextbublinyChar">
    <w:name w:val="Text bubliny Char"/>
    <w:basedOn w:val="Standardnpsmoodstavce"/>
    <w:link w:val="Textbubliny"/>
    <w:uiPriority w:val="99"/>
    <w:semiHidden/>
    <w:rsid w:val="00150D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115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po-efekt.cz/cz/ekis/i-ekis"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CE2A6828.dotm</Template>
  <TotalTime>18</TotalTime>
  <Pages>1</Pages>
  <Words>3234</Words>
  <Characters>19081</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22271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Kudrnová Lenka</dc:creator>
  <cp:lastModifiedBy>Kyselák Milan</cp:lastModifiedBy>
  <cp:revision>5</cp:revision>
  <cp:lastPrinted>2015-03-23T17:45:00Z</cp:lastPrinted>
  <dcterms:created xsi:type="dcterms:W3CDTF">2015-03-23T17:38:00Z</dcterms:created>
  <dcterms:modified xsi:type="dcterms:W3CDTF">2015-03-24T15:34:00Z</dcterms:modified>
</cp:coreProperties>
</file>